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lang w:val="en-GB"/>
        </w:rPr>
      </w:pPr>
      <w:r>
        <w:rPr>
          <w:lang w:val="en-GB"/>
        </w:rPr>
      </w:r>
    </w:p>
    <w:p>
      <w:pPr>
        <w:pStyle w:val="Heading1"/>
        <w:spacing w:before="0" w:after="0"/>
        <w:jc w:val="center"/>
        <w:rPr>
          <w:lang w:val="en-GB"/>
        </w:rPr>
      </w:pPr>
      <w:r>
        <w:rPr>
          <w:lang w:val="en-GB"/>
        </w:rPr>
      </w:r>
    </w:p>
    <w:p>
      <w:pPr>
        <w:pStyle w:val="Heading1"/>
        <w:spacing w:before="0" w:after="0"/>
        <w:jc w:val="center"/>
        <w:rPr>
          <w:lang w:val="en-GB"/>
        </w:rPr>
      </w:pPr>
      <w:r>
        <w:rPr>
          <w:lang w:val="en-GB"/>
        </w:rPr>
      </w:r>
    </w:p>
    <w:p>
      <w:pPr>
        <w:pStyle w:val="Heading1"/>
        <w:spacing w:before="0" w:after="0"/>
        <w:jc w:val="center"/>
        <w:rPr>
          <w:lang w:val="en-GB"/>
        </w:rPr>
      </w:pPr>
      <w:r>
        <w:rPr>
          <w:lang w:val="en-GB"/>
        </w:rPr>
      </w:r>
    </w:p>
    <w:p>
      <w:pPr>
        <w:pStyle w:val="Heading1"/>
        <w:spacing w:before="0" w:after="0"/>
        <w:jc w:val="center"/>
        <w:rPr>
          <w:lang w:val="en-GB"/>
        </w:rPr>
      </w:pPr>
      <w:r>
        <w:rPr>
          <w:lang w:val="en-GB"/>
        </w:rPr>
      </w:r>
    </w:p>
    <w:p>
      <w:pPr>
        <w:pStyle w:val="Normal"/>
        <w:rPr>
          <w:lang w:val="en-GB"/>
        </w:rPr>
      </w:pPr>
      <w:r>
        <w:rPr>
          <w:lang w:val="en-GB"/>
        </w:rPr>
      </w:r>
    </w:p>
    <w:p>
      <w:pPr>
        <w:pStyle w:val="Normal"/>
        <w:rPr>
          <w:lang w:val="en-GB"/>
        </w:rPr>
      </w:pPr>
      <w:r>
        <w:rPr>
          <w:lang w:val="en-GB"/>
        </w:rPr>
      </w:r>
    </w:p>
    <w:p>
      <w:pPr>
        <w:pStyle w:val="Heading1"/>
        <w:spacing w:before="0" w:after="0"/>
        <w:jc w:val="center"/>
        <w:rPr>
          <w:lang w:val="en-GB"/>
        </w:rPr>
      </w:pPr>
      <w:r>
        <w:rPr>
          <w:lang w:val="en-GB"/>
        </w:rPr>
      </w:r>
    </w:p>
    <w:p>
      <w:pPr>
        <w:pStyle w:val="Heading1"/>
        <w:spacing w:before="0" w:after="0"/>
        <w:jc w:val="center"/>
        <w:rPr>
          <w:lang w:val="en-GB"/>
        </w:rPr>
      </w:pPr>
      <w:r>
        <w:rPr>
          <w:lang w:val="en-GB"/>
        </w:rPr>
        <w:t xml:space="preserve">PAROCHIAL CHURCH COUNCIL OF </w:t>
      </w:r>
      <w:r>
        <w:rPr>
          <w:lang w:val="en-GB"/>
        </w:rPr>
        <w:t>[PARISH]</w:t>
      </w:r>
    </w:p>
    <w:p>
      <w:pPr>
        <w:pStyle w:val="Heading1"/>
        <w:spacing w:before="0" w:after="0"/>
        <w:jc w:val="center"/>
        <w:rPr>
          <w:lang w:val="en-GB"/>
        </w:rPr>
      </w:pPr>
      <w:r>
        <w:rPr>
          <w:lang w:val="en-GB"/>
        </w:rPr>
      </w:r>
    </w:p>
    <w:p>
      <w:pPr>
        <w:pStyle w:val="Heading1"/>
        <w:spacing w:before="0" w:after="0"/>
        <w:jc w:val="center"/>
        <w:rPr>
          <w:lang w:val="en-GB"/>
        </w:rPr>
      </w:pPr>
      <w:r>
        <w:rPr>
          <w:lang w:val="en-GB"/>
        </w:rPr>
        <w:t xml:space="preserve">Annual Report and Financial Statements </w:t>
      </w:r>
    </w:p>
    <w:p>
      <w:pPr>
        <w:pStyle w:val="Heading1"/>
        <w:spacing w:before="0" w:after="0"/>
        <w:jc w:val="center"/>
        <w:rPr>
          <w:lang w:val="en-GB"/>
        </w:rPr>
      </w:pPr>
      <w:r>
        <w:rPr>
          <w:lang w:val="en-GB"/>
        </w:rPr>
        <w:t xml:space="preserve">for the year ended 31 December </w:t>
      </w:r>
      <w:r>
        <w:rPr>
          <w:lang w:val="en-GB"/>
        </w:rPr>
        <w:t>YYYY</w:t>
      </w:r>
    </w:p>
    <w:p>
      <w:pPr>
        <w:pStyle w:val="Heading1"/>
        <w:spacing w:before="0" w:after="0"/>
        <w:jc w:val="center"/>
        <w:rPr>
          <w:lang w:val="en-GB"/>
        </w:rPr>
      </w:pPr>
      <w:r>
        <w:rPr>
          <w:lang w:val="en-GB"/>
        </w:rPr>
      </w:r>
    </w:p>
    <w:p>
      <w:pPr>
        <w:pStyle w:val="Heading1"/>
        <w:spacing w:before="0" w:after="0"/>
        <w:jc w:val="center"/>
        <w:rPr>
          <w:lang w:val="en-GB"/>
        </w:rPr>
      </w:pPr>
      <w:r>
        <w:rPr>
          <w:lang w:val="en-GB"/>
        </w:rPr>
      </w:r>
    </w:p>
    <w:p>
      <w:pPr>
        <w:pStyle w:val="Heading1"/>
        <w:spacing w:before="0" w:after="0"/>
        <w:jc w:val="center"/>
        <w:rPr>
          <w:lang w:val="en-GB"/>
        </w:rPr>
      </w:pPr>
      <w:r>
        <w:rPr>
          <w:lang w:val="en-GB"/>
        </w:rPr>
      </w:r>
    </w:p>
    <w:p>
      <w:pPr>
        <w:pStyle w:val="Heading1"/>
        <w:spacing w:before="0" w:after="0"/>
        <w:jc w:val="center"/>
        <w:rPr>
          <w:lang w:val="en-GB"/>
        </w:rPr>
      </w:pPr>
      <w:r>
        <w:rPr>
          <w:lang w:val="en-GB"/>
        </w:rPr>
      </w:r>
    </w:p>
    <w:p>
      <w:pPr>
        <w:pStyle w:val="Heading1"/>
        <w:spacing w:before="0" w:after="0"/>
        <w:jc w:val="center"/>
        <w:rPr>
          <w:lang w:val="en-GB"/>
        </w:rPr>
      </w:pPr>
      <w:r>
        <w:rPr>
          <w:lang w:val="en-GB"/>
        </w:rPr>
      </w:r>
      <w:r>
        <w:br w:type="page"/>
      </w:r>
    </w:p>
    <w:p>
      <w:pPr>
        <w:pStyle w:val="Heading1"/>
        <w:spacing w:before="0" w:after="0"/>
        <w:jc w:val="center"/>
        <w:rPr>
          <w:lang w:val="en-GB"/>
        </w:rPr>
      </w:pPr>
      <w:r>
        <w:rPr>
          <w:lang w:val="en-GB"/>
        </w:rPr>
        <w:t>CONTENTS</w:t>
      </w:r>
    </w:p>
    <w:p>
      <w:pPr>
        <w:pStyle w:val="Heading1"/>
        <w:spacing w:before="0" w:after="0"/>
        <w:jc w:val="center"/>
        <w:rPr>
          <w:lang w:val="en-GB"/>
        </w:rPr>
      </w:pPr>
      <w:r>
        <w:rPr>
          <w:lang w:val="en-GB"/>
        </w:rPr>
      </w:r>
    </w:p>
    <w:p>
      <w:pPr>
        <w:pStyle w:val="Normal"/>
        <w:tabs>
          <w:tab w:val="clear" w:pos="720"/>
          <w:tab w:val="left" w:pos="1701" w:leader="none"/>
          <w:tab w:val="right" w:pos="8789" w:leader="none"/>
        </w:tabs>
        <w:rPr>
          <w:lang w:val="en-GB"/>
        </w:rPr>
      </w:pPr>
      <w:r>
        <w:rPr>
          <w:lang w:val="en-GB"/>
        </w:rPr>
        <w:tab/>
        <w:tab/>
        <w:t>Page</w:t>
      </w:r>
    </w:p>
    <w:p>
      <w:pPr>
        <w:pStyle w:val="Normal"/>
        <w:tabs>
          <w:tab w:val="clear" w:pos="720"/>
          <w:tab w:val="left" w:pos="1701" w:leader="none"/>
          <w:tab w:val="right" w:pos="8789" w:leader="none"/>
        </w:tabs>
        <w:rPr>
          <w:lang w:val="en-GB"/>
        </w:rPr>
      </w:pPr>
      <w:r>
        <w:rPr>
          <w:sz w:val="28"/>
          <w:szCs w:val="28"/>
          <w:lang w:val="en-GB"/>
        </w:rPr>
        <w:tab/>
      </w:r>
      <w:r>
        <w:rPr>
          <w:lang w:val="en-GB"/>
        </w:rPr>
        <w:t>Annual Report of the Trustees</w:t>
        <w:tab/>
      </w:r>
    </w:p>
    <w:p>
      <w:pPr>
        <w:pStyle w:val="Normal"/>
        <w:tabs>
          <w:tab w:val="clear" w:pos="720"/>
          <w:tab w:val="left" w:pos="1701" w:leader="none"/>
          <w:tab w:val="right" w:pos="8789" w:leader="none"/>
        </w:tabs>
        <w:rPr>
          <w:lang w:val="en-GB"/>
        </w:rPr>
      </w:pPr>
      <w:r>
        <w:rPr>
          <w:lang w:val="en-GB"/>
        </w:rPr>
        <w:tab/>
        <w:t>Independent Examiner’s Report</w:t>
        <w:tab/>
      </w:r>
    </w:p>
    <w:p>
      <w:pPr>
        <w:pStyle w:val="Normal"/>
        <w:tabs>
          <w:tab w:val="clear" w:pos="720"/>
          <w:tab w:val="left" w:pos="1701" w:leader="none"/>
          <w:tab w:val="right" w:pos="8789" w:leader="none"/>
        </w:tabs>
        <w:rPr>
          <w:lang w:val="en-GB"/>
        </w:rPr>
      </w:pPr>
      <w:r>
        <w:rPr>
          <w:lang w:val="en-GB"/>
        </w:rPr>
        <w:tab/>
        <w:t>Statement of Financial Activities</w:t>
        <w:tab/>
      </w:r>
    </w:p>
    <w:p>
      <w:pPr>
        <w:pStyle w:val="Normal"/>
        <w:tabs>
          <w:tab w:val="clear" w:pos="720"/>
          <w:tab w:val="left" w:pos="1701" w:leader="none"/>
          <w:tab w:val="right" w:pos="8789" w:leader="none"/>
        </w:tabs>
        <w:rPr>
          <w:lang w:val="en-GB"/>
        </w:rPr>
      </w:pPr>
      <w:r>
        <w:rPr>
          <w:lang w:val="en-GB"/>
        </w:rPr>
        <w:tab/>
        <w:t>Balance Sheet</w:t>
        <w:tab/>
      </w:r>
    </w:p>
    <w:p>
      <w:pPr>
        <w:pStyle w:val="Normal"/>
        <w:tabs>
          <w:tab w:val="clear" w:pos="720"/>
          <w:tab w:val="left" w:pos="1701" w:leader="none"/>
          <w:tab w:val="right" w:pos="8789" w:leader="none"/>
        </w:tabs>
        <w:rPr>
          <w:lang w:val="en-GB"/>
        </w:rPr>
      </w:pPr>
      <w:r>
        <w:rPr>
          <w:lang w:val="en-GB"/>
        </w:rPr>
        <w:tab/>
        <w:t>Notes</w:t>
        <w:tab/>
      </w:r>
      <w:r>
        <w:br w:type="page"/>
      </w:r>
    </w:p>
    <w:p>
      <w:pPr>
        <w:pStyle w:val="Heading2"/>
        <w:spacing w:before="0" w:after="0"/>
        <w:jc w:val="center"/>
        <w:rPr>
          <w:lang w:val="en-GB"/>
        </w:rPr>
      </w:pPr>
      <w:r>
        <w:rPr>
          <w:lang w:val="en-GB"/>
        </w:rPr>
        <w:t>Annual Report and Financial Statements</w:t>
        <w:br/>
        <w:t xml:space="preserve">PAROCHIAL CHURCH COUNCIL OF </w:t>
      </w:r>
      <w:r>
        <w:rPr>
          <w:lang w:val="en-GB"/>
        </w:rPr>
        <w:t>[PARISH]</w:t>
      </w:r>
      <w:r>
        <w:rPr>
          <w:lang w:val="en-GB"/>
        </w:rPr>
        <w:br/>
        <w:t xml:space="preserve">for the year ended 31 December </w:t>
      </w:r>
      <w:r>
        <w:rPr>
          <w:lang w:val="en-GB"/>
        </w:rPr>
        <w:t>YYYY</w:t>
      </w:r>
    </w:p>
    <w:p>
      <w:pPr>
        <w:pStyle w:val="Heading1"/>
        <w:rPr>
          <w:lang w:val="en-GB"/>
        </w:rPr>
      </w:pPr>
      <w:r>
        <w:rPr>
          <w:lang w:val="en-GB"/>
        </w:rPr>
        <w:t>Administrative Information</w:t>
      </w:r>
    </w:p>
    <w:p>
      <w:pPr>
        <w:pStyle w:val="Normal"/>
        <w:rPr>
          <w:lang w:val="en-GB"/>
        </w:rPr>
      </w:pPr>
      <w:r>
        <w:rPr>
          <w:lang w:val="en-GB"/>
        </w:rPr>
        <w:t xml:space="preserve">The Parish of </w:t>
      </w:r>
      <w:r>
        <w:rPr>
          <w:lang w:val="en-GB"/>
        </w:rPr>
        <w:t>[PARISH]</w:t>
      </w:r>
      <w:r>
        <w:rPr>
          <w:lang w:val="en-GB"/>
        </w:rPr>
        <w:t xml:space="preserve"> is part of the Diocese of </w:t>
      </w:r>
      <w:r>
        <w:rPr>
          <w:lang w:val="en-GB"/>
        </w:rPr>
        <w:t>[DIOCESE]</w:t>
      </w:r>
      <w:r>
        <w:rPr>
          <w:lang w:val="en-GB"/>
        </w:rPr>
        <w:t xml:space="preserve"> within the Church of England.  The correspondence address is </w:t>
      </w:r>
      <w:r>
        <w:rPr>
          <w:lang w:val="en-GB"/>
        </w:rPr>
        <w:t>[ADDRESS]</w:t>
      </w:r>
      <w:r>
        <w:rPr>
          <w:lang w:val="en-GB"/>
        </w:rPr>
        <w:t>.</w:t>
      </w:r>
    </w:p>
    <w:p>
      <w:pPr>
        <w:pStyle w:val="Normal"/>
        <w:rPr>
          <w:lang w:val="en-GB"/>
        </w:rPr>
      </w:pPr>
      <w:r>
        <w:rPr>
          <w:lang w:val="en-GB"/>
        </w:rPr>
        <w:t xml:space="preserve">The Church of England has two churches in the parish: </w:t>
      </w:r>
      <w:r>
        <w:rPr>
          <w:lang w:val="en-GB"/>
        </w:rPr>
        <w:t>[CHURCHES]</w:t>
      </w:r>
    </w:p>
    <w:p>
      <w:pPr>
        <w:pStyle w:val="Normal"/>
        <w:rPr>
          <w:lang w:val="en-GB"/>
        </w:rPr>
      </w:pPr>
      <w:r>
        <w:rPr>
          <w:lang w:val="en-GB"/>
        </w:rPr>
        <w:t>The Parochial Church Council (PCC) is a corporate body established by the Church of England and operates under the Parochial Church Councils (Powers) Measure 1956 and the Church Representation Rules.</w:t>
      </w:r>
    </w:p>
    <w:p>
      <w:pPr>
        <w:pStyle w:val="Normal"/>
        <w:rPr>
          <w:lang w:val="en-GB"/>
        </w:rPr>
      </w:pPr>
      <w:r>
        <w:rPr>
          <w:lang w:val="en-GB"/>
        </w:rPr>
        <w:t xml:space="preserve">The PCC is registered as a charity with the Charity Commission, Registered Number </w:t>
      </w:r>
      <w:r>
        <w:rPr>
          <w:lang w:val="en-GB"/>
        </w:rPr>
        <w:t>NNN</w:t>
      </w:r>
      <w:r>
        <w:rPr>
          <w:lang w:val="en-GB"/>
        </w:rPr>
        <w:t>, under the name of ‘</w:t>
      </w:r>
      <w:r>
        <w:rPr>
          <w:lang w:val="en-GB"/>
        </w:rPr>
        <w:t>[NAME]</w:t>
      </w:r>
      <w:r>
        <w:rPr>
          <w:lang w:val="en-GB"/>
        </w:rPr>
        <w:t>’.  Its registered objects are ‘Promoting in the ecclesiastical parish the whole mission of the Church’.</w:t>
      </w:r>
    </w:p>
    <w:p>
      <w:pPr>
        <w:pStyle w:val="Normal"/>
        <w:rPr>
          <w:lang w:val="en-GB"/>
        </w:rPr>
      </w:pPr>
      <w:r>
        <w:rPr>
          <w:lang w:val="en-GB"/>
        </w:rPr>
        <w:t xml:space="preserve">PCC members who have served at any time since 1 January </w:t>
      </w:r>
      <w:r>
        <w:rPr>
          <w:lang w:val="en-GB"/>
        </w:rPr>
        <w:t>YYYY</w:t>
      </w:r>
      <w:r>
        <w:rPr>
          <w:lang w:val="en-GB"/>
        </w:rPr>
        <w:t xml:space="preserve"> until the date of approval of this report are:</w:t>
      </w:r>
    </w:p>
    <w:p>
      <w:pPr>
        <w:pStyle w:val="Heading2"/>
        <w:rPr>
          <w:lang w:val="en-GB"/>
        </w:rPr>
      </w:pPr>
      <w:r>
        <w:rPr>
          <w:lang w:val="en-GB"/>
        </w:rPr>
        <w:t>Ex-Officio Members</w:t>
      </w:r>
    </w:p>
    <w:p>
      <w:pPr>
        <w:pStyle w:val="Normal"/>
        <w:rPr>
          <w:lang w:val="en-GB"/>
        </w:rPr>
      </w:pPr>
      <w:r>
        <w:rPr>
          <w:lang w:val="en-GB"/>
        </w:rPr>
        <w:t xml:space="preserve">Incumbent:  </w:t>
        <w:tab/>
        <w:tab/>
        <w:t xml:space="preserve">The Reverend </w:t>
      </w:r>
      <w:r>
        <w:rPr>
          <w:lang w:val="en-GB"/>
        </w:rPr>
        <w:t>A</w:t>
      </w:r>
      <w:r>
        <w:rPr>
          <w:lang w:val="en-GB"/>
        </w:rPr>
        <w:t xml:space="preserve"> </w:t>
      </w:r>
      <w:r>
        <w:rPr>
          <w:lang w:val="en-GB"/>
        </w:rPr>
        <w:t>B</w:t>
      </w:r>
      <w:r>
        <w:rPr>
          <w:lang w:val="en-GB"/>
        </w:rPr>
        <w:t>, Vicar (Chair)</w:t>
      </w:r>
    </w:p>
    <w:p>
      <w:pPr>
        <w:pStyle w:val="Normal"/>
        <w:rPr>
          <w:lang w:val="en-GB"/>
        </w:rPr>
      </w:pPr>
      <w:r>
        <w:rPr>
          <w:lang w:val="en-GB"/>
        </w:rPr>
        <w:t>Churchwardens:</w:t>
        <w:tab/>
      </w:r>
      <w:r>
        <w:rPr>
          <w:lang w:val="en-GB"/>
        </w:rPr>
        <w:t>A</w:t>
      </w:r>
      <w:r>
        <w:rPr>
          <w:lang w:val="en-GB"/>
        </w:rPr>
        <w:t xml:space="preserve"> </w:t>
      </w:r>
      <w:r>
        <w:rPr>
          <w:lang w:val="en-GB"/>
        </w:rPr>
        <w:t>B</w:t>
      </w:r>
    </w:p>
    <w:p>
      <w:pPr>
        <w:pStyle w:val="Normal"/>
        <w:rPr>
          <w:lang w:val="en-GB"/>
        </w:rPr>
      </w:pPr>
      <w:r>
        <w:rPr>
          <w:lang w:val="en-GB"/>
        </w:rPr>
        <w:t xml:space="preserve">Representatives on  </w:t>
        <w:br/>
        <w:t>the Deanery Synod:</w:t>
        <w:tab/>
      </w:r>
      <w:r>
        <w:rPr>
          <w:lang w:val="en-GB"/>
        </w:rPr>
        <w:t>A</w:t>
      </w:r>
      <w:r>
        <w:rPr>
          <w:lang w:val="en-GB"/>
        </w:rPr>
        <w:t xml:space="preserve"> </w:t>
      </w:r>
      <w:r>
        <w:rPr>
          <w:lang w:val="en-GB"/>
        </w:rPr>
        <w:t>B</w:t>
        <w:tab/>
      </w:r>
      <w:r>
        <w:rPr>
          <w:lang w:val="en-GB"/>
        </w:rPr>
        <w:tab/>
        <w:tab/>
        <w:tab/>
        <w:tab/>
        <w:br/>
        <w:tab/>
        <w:tab/>
        <w:tab/>
      </w:r>
      <w:r>
        <w:rPr>
          <w:lang w:val="en-GB"/>
        </w:rPr>
        <w:t>A</w:t>
      </w:r>
      <w:r>
        <w:rPr>
          <w:lang w:val="en-GB"/>
        </w:rPr>
        <w:t xml:space="preserve"> </w:t>
      </w:r>
      <w:r>
        <w:rPr>
          <w:lang w:val="en-GB"/>
        </w:rPr>
        <w:t>B</w:t>
        <w:tab/>
        <w:tab/>
      </w:r>
      <w:r>
        <w:rPr>
          <w:lang w:val="en-GB"/>
        </w:rPr>
        <w:tab/>
        <w:tab/>
        <w:tab/>
      </w:r>
    </w:p>
    <w:p>
      <w:pPr>
        <w:pStyle w:val="Heading2"/>
        <w:rPr>
          <w:lang w:val="en-GB"/>
        </w:rPr>
      </w:pPr>
      <w:r>
        <w:rPr>
          <w:lang w:val="en-GB"/>
        </w:rPr>
        <w:t>Elected Members:</w:t>
      </w:r>
    </w:p>
    <w:p>
      <w:pPr>
        <w:pStyle w:val="Normal"/>
        <w:spacing w:lineRule="auto" w:line="240" w:before="0" w:after="0"/>
        <w:rPr>
          <w:lang w:val="en-GB"/>
        </w:rPr>
      </w:pPr>
      <w:r>
        <w:rPr>
          <w:lang w:val="en-GB"/>
        </w:rPr>
        <w:tab/>
        <w:tab/>
        <w:tab/>
      </w:r>
      <w:r>
        <w:rPr>
          <w:lang w:val="en-GB"/>
        </w:rPr>
        <w:t>A</w:t>
      </w:r>
      <w:r>
        <w:rPr>
          <w:lang w:val="en-GB"/>
        </w:rPr>
        <w:t xml:space="preserve"> </w:t>
      </w:r>
      <w:r>
        <w:rPr>
          <w:lang w:val="en-GB"/>
        </w:rPr>
        <w:t>B</w:t>
        <w:tab/>
        <w:tab/>
      </w:r>
      <w:r>
        <w:rPr>
          <w:lang w:val="en-GB"/>
        </w:rPr>
        <w:tab/>
        <w:tab/>
        <w:tab/>
      </w:r>
    </w:p>
    <w:p>
      <w:pPr>
        <w:pStyle w:val="Normal"/>
        <w:spacing w:lineRule="auto" w:line="240" w:before="0" w:after="0"/>
        <w:rPr>
          <w:lang w:val="en-GB"/>
        </w:rPr>
      </w:pPr>
      <w:r>
        <w:rPr>
          <w:lang w:val="en-GB"/>
        </w:rPr>
        <w:tab/>
        <w:tab/>
        <w:tab/>
      </w:r>
      <w:r>
        <w:rPr>
          <w:lang w:val="en-GB"/>
        </w:rPr>
        <w:t>A</w:t>
      </w:r>
      <w:r>
        <w:rPr>
          <w:lang w:val="en-GB"/>
        </w:rPr>
        <w:t xml:space="preserve"> </w:t>
      </w:r>
      <w:r>
        <w:rPr>
          <w:lang w:val="en-GB"/>
        </w:rPr>
        <w:t>B</w:t>
        <w:tab/>
        <w:tab/>
      </w:r>
      <w:r>
        <w:rPr>
          <w:lang w:val="en-GB"/>
        </w:rPr>
        <w:tab/>
        <w:tab/>
        <w:tab/>
      </w:r>
    </w:p>
    <w:p>
      <w:pPr>
        <w:pStyle w:val="Normal"/>
        <w:spacing w:lineRule="auto" w:line="240" w:before="0" w:after="0"/>
        <w:rPr>
          <w:lang w:val="en-GB"/>
        </w:rPr>
      </w:pPr>
      <w:r>
        <w:rPr>
          <w:lang w:val="en-GB"/>
        </w:rPr>
        <w:tab/>
        <w:tab/>
        <w:tab/>
      </w:r>
      <w:r>
        <w:rPr>
          <w:lang w:val="en-GB"/>
        </w:rPr>
        <w:t>A</w:t>
      </w:r>
      <w:r>
        <w:rPr>
          <w:lang w:val="en-GB"/>
        </w:rPr>
        <w:t xml:space="preserve"> </w:t>
      </w:r>
      <w:r>
        <w:rPr>
          <w:lang w:val="en-GB"/>
        </w:rPr>
        <w:t>B</w:t>
        <w:tab/>
        <w:tab/>
      </w:r>
      <w:r>
        <w:rPr>
          <w:lang w:val="en-GB"/>
        </w:rPr>
        <w:tab/>
        <w:tab/>
        <w:tab/>
      </w:r>
    </w:p>
    <w:p>
      <w:pPr>
        <w:pStyle w:val="Normal"/>
        <w:spacing w:lineRule="auto" w:line="240" w:before="0" w:after="0"/>
        <w:rPr>
          <w:lang w:val="en-GB"/>
        </w:rPr>
      </w:pPr>
      <w:r>
        <w:rPr>
          <w:lang w:val="en-GB"/>
        </w:rPr>
        <w:tab/>
        <w:tab/>
        <w:tab/>
      </w:r>
      <w:r>
        <w:rPr>
          <w:lang w:val="en-GB"/>
        </w:rPr>
        <w:t>A</w:t>
      </w:r>
      <w:r>
        <w:rPr>
          <w:lang w:val="en-GB"/>
        </w:rPr>
        <w:t xml:space="preserve"> </w:t>
      </w:r>
      <w:r>
        <w:rPr>
          <w:lang w:val="en-GB"/>
        </w:rPr>
        <w:t>B</w:t>
        <w:tab/>
        <w:tab/>
      </w:r>
      <w:r>
        <w:rPr>
          <w:lang w:val="en-GB"/>
        </w:rPr>
        <w:tab/>
        <w:tab/>
        <w:tab/>
      </w:r>
    </w:p>
    <w:p>
      <w:pPr>
        <w:pStyle w:val="Normal"/>
        <w:spacing w:lineRule="auto" w:line="240" w:before="0" w:after="0"/>
        <w:rPr>
          <w:lang w:val="en-GB"/>
        </w:rPr>
      </w:pPr>
      <w:r>
        <w:rPr>
          <w:lang w:val="en-GB"/>
        </w:rPr>
        <w:tab/>
        <w:tab/>
        <w:tab/>
      </w:r>
      <w:r>
        <w:rPr>
          <w:lang w:val="en-GB"/>
        </w:rPr>
        <w:t>A</w:t>
      </w:r>
      <w:r>
        <w:rPr>
          <w:lang w:val="en-GB"/>
        </w:rPr>
        <w:t xml:space="preserve"> </w:t>
      </w:r>
      <w:r>
        <w:rPr>
          <w:lang w:val="en-GB"/>
        </w:rPr>
        <w:t>B</w:t>
        <w:tab/>
        <w:tab/>
      </w:r>
      <w:r>
        <w:rPr>
          <w:lang w:val="en-GB"/>
        </w:rPr>
        <w:tab/>
        <w:tab/>
        <w:tab/>
      </w:r>
    </w:p>
    <w:p>
      <w:pPr>
        <w:pStyle w:val="Normal"/>
        <w:spacing w:lineRule="auto" w:line="240" w:before="0" w:after="0"/>
        <w:rPr>
          <w:lang w:val="en-GB"/>
        </w:rPr>
      </w:pPr>
      <w:r>
        <w:rPr>
          <w:lang w:val="en-GB"/>
        </w:rPr>
        <w:tab/>
        <w:tab/>
        <w:tab/>
      </w:r>
      <w:r>
        <w:rPr>
          <w:lang w:val="en-GB"/>
        </w:rPr>
        <w:t>A</w:t>
      </w:r>
      <w:r>
        <w:rPr>
          <w:lang w:val="en-GB"/>
        </w:rPr>
        <w:t xml:space="preserve"> </w:t>
      </w:r>
      <w:r>
        <w:rPr>
          <w:lang w:val="en-GB"/>
        </w:rPr>
        <w:t>B</w:t>
        <w:tab/>
        <w:tab/>
      </w:r>
      <w:r>
        <w:rPr>
          <w:lang w:val="en-GB"/>
        </w:rPr>
        <w:tab/>
        <w:tab/>
        <w:tab/>
      </w:r>
    </w:p>
    <w:p>
      <w:pPr>
        <w:pStyle w:val="Normal"/>
        <w:spacing w:lineRule="auto" w:line="240" w:before="0" w:after="0"/>
        <w:rPr>
          <w:lang w:val="en-GB"/>
        </w:rPr>
      </w:pPr>
      <w:r>
        <w:rPr>
          <w:lang w:val="en-GB"/>
        </w:rPr>
        <w:tab/>
        <w:tab/>
        <w:tab/>
      </w:r>
      <w:r>
        <w:rPr>
          <w:lang w:val="en-GB"/>
        </w:rPr>
        <w:t>A</w:t>
      </w:r>
      <w:r>
        <w:rPr>
          <w:lang w:val="en-GB"/>
        </w:rPr>
        <w:t xml:space="preserve"> </w:t>
      </w:r>
      <w:r>
        <w:rPr>
          <w:lang w:val="en-GB"/>
        </w:rPr>
        <w:t>B</w:t>
        <w:tab/>
        <w:tab/>
      </w:r>
      <w:r>
        <w:rPr>
          <w:lang w:val="en-GB"/>
        </w:rPr>
        <w:tab/>
        <w:tab/>
        <w:tab/>
      </w:r>
    </w:p>
    <w:p>
      <w:pPr>
        <w:pStyle w:val="Normal"/>
        <w:spacing w:lineRule="auto" w:line="240" w:before="0" w:after="0"/>
        <w:rPr>
          <w:lang w:val="en-GB"/>
        </w:rPr>
      </w:pPr>
      <w:r>
        <w:rPr>
          <w:lang w:val="en-GB"/>
        </w:rPr>
        <w:tab/>
        <w:tab/>
        <w:tab/>
      </w:r>
      <w:r>
        <w:rPr>
          <w:lang w:val="en-GB"/>
        </w:rPr>
        <w:t>A</w:t>
      </w:r>
      <w:r>
        <w:rPr>
          <w:lang w:val="en-GB"/>
        </w:rPr>
        <w:t xml:space="preserve"> </w:t>
      </w:r>
      <w:r>
        <w:rPr>
          <w:lang w:val="en-GB"/>
        </w:rPr>
        <w:t>B</w:t>
        <w:tab/>
        <w:tab/>
      </w:r>
      <w:r>
        <w:rPr>
          <w:lang w:val="en-GB"/>
        </w:rPr>
        <w:tab/>
        <w:tab/>
        <w:tab/>
      </w:r>
    </w:p>
    <w:p>
      <w:pPr>
        <w:pStyle w:val="Normal"/>
        <w:spacing w:lineRule="auto" w:line="240" w:before="0" w:after="0"/>
        <w:rPr>
          <w:lang w:val="en-GB"/>
        </w:rPr>
      </w:pPr>
      <w:r>
        <w:rPr>
          <w:lang w:val="en-GB"/>
        </w:rPr>
        <w:tab/>
        <w:tab/>
        <w:tab/>
      </w:r>
      <w:r>
        <w:rPr>
          <w:lang w:val="en-GB"/>
        </w:rPr>
        <w:t>A</w:t>
      </w:r>
      <w:r>
        <w:rPr>
          <w:lang w:val="en-GB"/>
        </w:rPr>
        <w:t xml:space="preserve"> </w:t>
      </w:r>
      <w:r>
        <w:rPr>
          <w:lang w:val="en-GB"/>
        </w:rPr>
        <w:t>B</w:t>
        <w:tab/>
        <w:tab/>
      </w:r>
      <w:r>
        <w:rPr>
          <w:lang w:val="en-GB"/>
        </w:rPr>
        <w:tab/>
        <w:tab/>
        <w:tab/>
      </w:r>
    </w:p>
    <w:p>
      <w:pPr>
        <w:pStyle w:val="Normal"/>
        <w:spacing w:lineRule="auto" w:line="240" w:before="0" w:after="0"/>
        <w:rPr>
          <w:lang w:val="en-GB"/>
        </w:rPr>
      </w:pPr>
      <w:r>
        <w:rPr>
          <w:lang w:val="en-GB"/>
        </w:rPr>
        <w:tab/>
        <w:tab/>
        <w:tab/>
      </w:r>
      <w:r>
        <w:rPr>
          <w:lang w:val="en-GB"/>
        </w:rPr>
        <w:t>A</w:t>
      </w:r>
      <w:r>
        <w:rPr>
          <w:lang w:val="en-GB"/>
        </w:rPr>
        <w:t xml:space="preserve"> </w:t>
      </w:r>
      <w:r>
        <w:rPr>
          <w:lang w:val="en-GB"/>
        </w:rPr>
        <w:t>B</w:t>
        <w:tab/>
        <w:tab/>
      </w:r>
      <w:r>
        <w:rPr>
          <w:lang w:val="en-GB"/>
        </w:rPr>
        <w:tab/>
        <w:tab/>
        <w:tab/>
      </w:r>
    </w:p>
    <w:p>
      <w:pPr>
        <w:pStyle w:val="Normal"/>
        <w:spacing w:lineRule="auto" w:line="240" w:before="0" w:after="0"/>
        <w:rPr>
          <w:lang w:val="en-GB"/>
        </w:rPr>
      </w:pPr>
      <w:r>
        <w:rPr>
          <w:lang w:val="en-GB"/>
        </w:rPr>
        <w:tab/>
        <w:tab/>
        <w:tab/>
      </w:r>
      <w:r>
        <w:rPr>
          <w:lang w:val="en-GB"/>
        </w:rPr>
        <w:t>A</w:t>
      </w:r>
      <w:r>
        <w:rPr>
          <w:lang w:val="en-GB"/>
        </w:rPr>
        <w:t xml:space="preserve"> </w:t>
      </w:r>
      <w:r>
        <w:rPr>
          <w:lang w:val="en-GB"/>
        </w:rPr>
        <w:t>B</w:t>
        <w:tab/>
        <w:tab/>
      </w:r>
      <w:r>
        <w:rPr>
          <w:lang w:val="en-GB"/>
        </w:rPr>
        <w:tab/>
        <w:tab/>
        <w:tab/>
      </w:r>
    </w:p>
    <w:p>
      <w:pPr>
        <w:pStyle w:val="Normal"/>
        <w:spacing w:lineRule="auto" w:line="240"/>
        <w:rPr>
          <w:lang w:val="en-GB"/>
        </w:rPr>
      </w:pPr>
      <w:r>
        <w:rPr>
          <w:lang w:val="en-GB"/>
        </w:rPr>
        <w:tab/>
      </w:r>
    </w:p>
    <w:p>
      <w:pPr>
        <w:pStyle w:val="Heading2"/>
        <w:rPr>
          <w:lang w:val="en-GB"/>
        </w:rPr>
      </w:pPr>
      <w:r>
        <w:rPr>
          <w:lang w:val="en-GB"/>
        </w:rPr>
        <w:t>PCC Officers</w:t>
      </w:r>
    </w:p>
    <w:p>
      <w:pPr>
        <w:pStyle w:val="Normal"/>
        <w:rPr>
          <w:lang w:val="en-GB"/>
        </w:rPr>
      </w:pPr>
      <w:r>
        <w:rPr>
          <w:lang w:val="en-GB"/>
        </w:rPr>
        <w:t>Treasurer:</w:t>
        <w:tab/>
        <w:tab/>
      </w:r>
      <w:r>
        <w:rPr>
          <w:i w:val="false"/>
          <w:iCs w:val="false"/>
          <w:lang w:val="en-GB"/>
        </w:rPr>
        <w:t>A B</w:t>
      </w:r>
    </w:p>
    <w:p>
      <w:pPr>
        <w:pStyle w:val="Normal"/>
        <w:rPr>
          <w:lang w:val="en-GB"/>
        </w:rPr>
      </w:pPr>
      <w:r>
        <w:rPr>
          <w:lang w:val="en-GB"/>
        </w:rPr>
        <w:t>PCC Secretary:</w:t>
        <w:tab/>
        <w:tab/>
      </w:r>
      <w:r>
        <w:rPr>
          <w:lang w:val="en-GB"/>
        </w:rPr>
        <w:t>A B</w:t>
      </w:r>
    </w:p>
    <w:p>
      <w:pPr>
        <w:pStyle w:val="Heading1"/>
        <w:rPr>
          <w:lang w:val="en-GB"/>
        </w:rPr>
      </w:pPr>
      <w:r>
        <w:rPr>
          <w:lang w:val="en-GB"/>
        </w:rPr>
      </w:r>
      <w:r>
        <w:br w:type="page"/>
      </w:r>
    </w:p>
    <w:p>
      <w:pPr>
        <w:pStyle w:val="Heading1"/>
        <w:spacing w:before="0" w:after="0"/>
        <w:rPr>
          <w:lang w:val="en-GB"/>
        </w:rPr>
      </w:pPr>
      <w:r>
        <w:rPr>
          <w:lang w:val="en-GB"/>
        </w:rPr>
        <w:t>Structure, governance and management</w:t>
      </w:r>
    </w:p>
    <w:p>
      <w:pPr>
        <w:pStyle w:val="Normal"/>
        <w:rPr>
          <w:lang w:val="en-GB"/>
        </w:rPr>
      </w:pPr>
      <w:r>
        <w:rPr>
          <w:lang w:val="en-GB"/>
        </w:rPr>
        <w:t>The method of appointment of PCC members is set out in the Church Representation Rules.  The membership of the PCC consists of the Vicar, churchwardens, Deanery Synod representatives and members elected by members of the congregation who are on the electoral roll.  All those who regularly attend our services are encouraged to register on the Electoral Roll and stand for election to the PCC.</w:t>
      </w:r>
    </w:p>
    <w:p>
      <w:pPr>
        <w:pStyle w:val="Normal"/>
        <w:rPr>
          <w:lang w:val="en-GB"/>
        </w:rPr>
      </w:pPr>
      <w:r>
        <w:rPr>
          <w:lang w:val="en-GB"/>
        </w:rPr>
        <w:t>The PCC members are responsible for making decisions on all matters of general concern and importance to the parish, including deciding on how the funds of the PCC are to be spent.</w:t>
      </w:r>
    </w:p>
    <w:p>
      <w:pPr>
        <w:pStyle w:val="NoSpacing"/>
        <w:rPr>
          <w:lang w:val="en-GB"/>
        </w:rPr>
      </w:pPr>
      <w:r>
        <w:rPr>
          <w:rFonts w:cs="Fira Sans;Calibri" w:ascii="Fira Sans" w:hAnsi="Fira Sans"/>
          <w:lang w:val="en-GB"/>
        </w:rPr>
        <w:t xml:space="preserve">The full </w:t>
      </w:r>
      <w:r>
        <w:rPr>
          <w:rFonts w:cs="Fira Sans;Calibri" w:ascii="Fira Sans" w:hAnsi="Fira Sans"/>
          <w:color w:val="000000"/>
          <w:lang w:val="en-GB"/>
        </w:rPr>
        <w:t xml:space="preserve">PCC held </w:t>
      </w:r>
      <w:r>
        <w:rPr>
          <w:rFonts w:cs="Fira Sans;Calibri" w:ascii="Fira Sans" w:hAnsi="Fira Sans"/>
          <w:color w:val="000000"/>
          <w:shd w:fill="auto" w:val="clear"/>
          <w:lang w:val="en-GB"/>
        </w:rPr>
        <w:t>NNN</w:t>
      </w:r>
      <w:r>
        <w:rPr>
          <w:rFonts w:cs="Fira Sans;Calibri" w:ascii="Fira Sans" w:hAnsi="Fira Sans"/>
          <w:color w:val="000000"/>
          <w:lang w:val="en-GB"/>
        </w:rPr>
        <w:t xml:space="preserve"> Ordinary </w:t>
      </w:r>
      <w:r>
        <w:rPr>
          <w:rFonts w:cs="Fira Sans;Calibri" w:ascii="Fira Sans" w:hAnsi="Fira Sans"/>
          <w:lang w:val="en-GB"/>
        </w:rPr>
        <w:t>Meetings during the year.</w:t>
      </w:r>
    </w:p>
    <w:p>
      <w:pPr>
        <w:pStyle w:val="Heading1"/>
        <w:rPr>
          <w:lang w:val="en-GB"/>
        </w:rPr>
      </w:pPr>
      <w:r>
        <w:rPr>
          <w:lang w:val="en-GB"/>
        </w:rPr>
        <w:t>Aim and purposes</w:t>
      </w:r>
    </w:p>
    <w:p>
      <w:pPr>
        <w:pStyle w:val="Normal"/>
        <w:rPr>
          <w:lang w:val="en-GB"/>
        </w:rPr>
      </w:pPr>
      <w:r>
        <w:rPr>
          <w:lang w:val="en-GB"/>
        </w:rPr>
        <w:t xml:space="preserve">The primary objective of the Parochial Church Council (PCC) is the promotion of the Gospel of Jesus Christ according to the doctrines and practices of the Church of England.  The PCC has the responsibility of co-operating with the Vicar, the Reverend </w:t>
      </w:r>
      <w:r>
        <w:rPr>
          <w:lang w:val="en-GB"/>
        </w:rPr>
        <w:t>NNN MMM</w:t>
      </w:r>
      <w:r>
        <w:rPr>
          <w:lang w:val="en-GB"/>
        </w:rPr>
        <w:t xml:space="preserve">, in promoting in the ecclesiastical parish the whole mission of the Church, pastoral, evangelistic, social and ecumenical.  The PCC is also specifically responsible for the care and maintenance of the churches of </w:t>
      </w:r>
      <w:r>
        <w:rPr>
          <w:lang w:val="en-GB"/>
        </w:rPr>
        <w:t>[CHURCHES]</w:t>
      </w:r>
      <w:r>
        <w:rPr>
          <w:lang w:val="en-GB"/>
        </w:rPr>
        <w:t>.</w:t>
      </w:r>
    </w:p>
    <w:p>
      <w:pPr>
        <w:pStyle w:val="Heading1"/>
        <w:rPr>
          <w:lang w:val="en-GB"/>
        </w:rPr>
      </w:pPr>
      <w:r>
        <w:rPr>
          <w:lang w:val="en-GB"/>
        </w:rPr>
        <w:t>Objectives and Activities</w:t>
      </w:r>
    </w:p>
    <w:p>
      <w:pPr>
        <w:pStyle w:val="Normal"/>
        <w:rPr>
          <w:lang w:val="en-GB"/>
        </w:rPr>
      </w:pPr>
      <w:r>
        <w:rPr>
          <w:lang w:val="en-GB"/>
        </w:rPr>
        <w:t xml:space="preserve">The PCC is committed to enabling as many people as possible to worship at our churches and to become part of the parish community in </w:t>
      </w:r>
      <w:r>
        <w:rPr>
          <w:lang w:val="en-GB"/>
        </w:rPr>
        <w:t>[PARISH]</w:t>
      </w:r>
      <w:r>
        <w:rPr>
          <w:lang w:val="en-GB"/>
        </w:rPr>
        <w:t>.  The PCC maintains an overview of worship throughout the parish and makes suggestions on how our services can involve the many groups in our parish.  Our services and worship put faith into practice through prayer and scripture, music and sacrament.</w:t>
      </w:r>
    </w:p>
    <w:p>
      <w:pPr>
        <w:pStyle w:val="Normal"/>
        <w:rPr>
          <w:lang w:val="en-GB"/>
        </w:rPr>
      </w:pPr>
      <w:r>
        <w:rPr>
          <w:lang w:val="en-GB"/>
        </w:rPr>
        <w:t>When planning activities for the year we have considered the Charity Commission’s guidance on public benefit and, in particular, the specific guidance on charities for the advancement of religion.  In particular, we try to equip ordinary people to live out their Christian faith in the parish community and beyond, through:</w:t>
      </w:r>
    </w:p>
    <w:p>
      <w:pPr>
        <w:pStyle w:val="Normal"/>
        <w:numPr>
          <w:ilvl w:val="0"/>
          <w:numId w:val="2"/>
        </w:numPr>
        <w:rPr>
          <w:lang w:val="en-GB"/>
        </w:rPr>
      </w:pPr>
      <w:r>
        <w:rPr>
          <w:lang w:val="en-GB"/>
        </w:rPr>
        <w:t>Worship and prayer; learning about the Gospel; and developing their knowledge and trust in God – Father, Son and Holy Spirit.</w:t>
      </w:r>
    </w:p>
    <w:p>
      <w:pPr>
        <w:pStyle w:val="Normal"/>
        <w:numPr>
          <w:ilvl w:val="0"/>
          <w:numId w:val="2"/>
        </w:numPr>
        <w:rPr>
          <w:lang w:val="en-GB"/>
        </w:rPr>
      </w:pPr>
      <w:r>
        <w:rPr>
          <w:lang w:val="en-GB"/>
        </w:rPr>
        <w:t>Provision of pastoral care for people living in the parish and beyond.</w:t>
      </w:r>
    </w:p>
    <w:p>
      <w:pPr>
        <w:pStyle w:val="Normal"/>
        <w:numPr>
          <w:ilvl w:val="0"/>
          <w:numId w:val="2"/>
        </w:numPr>
        <w:rPr>
          <w:lang w:val="en-GB"/>
        </w:rPr>
      </w:pPr>
      <w:r>
        <w:rPr>
          <w:lang w:val="en-GB"/>
        </w:rPr>
        <w:t>Missional and outreach work in the parish and beyond.</w:t>
      </w:r>
    </w:p>
    <w:p>
      <w:pPr>
        <w:pStyle w:val="Normal"/>
        <w:rPr>
          <w:lang w:val="en-GB"/>
        </w:rPr>
      </w:pPr>
      <w:r>
        <w:rPr>
          <w:lang w:val="en-GB"/>
        </w:rPr>
        <w:t xml:space="preserve">To facilitate this work, it is important that we maintain the fabric of the two churches.   During </w:t>
      </w:r>
      <w:r>
        <w:rPr>
          <w:lang w:val="en-GB"/>
        </w:rPr>
        <w:t>YYYY</w:t>
      </w:r>
      <w:r>
        <w:rPr>
          <w:lang w:val="en-GB"/>
        </w:rPr>
        <w:t xml:space="preserve">, some of the work highlighted in the </w:t>
      </w:r>
      <w:r>
        <w:rPr>
          <w:lang w:val="en-GB"/>
        </w:rPr>
        <w:t>YYYY</w:t>
      </w:r>
      <w:r>
        <w:rPr>
          <w:lang w:val="en-GB"/>
        </w:rPr>
        <w:t xml:space="preserve"> quinquennial surveys were carried out at both churches.</w:t>
      </w:r>
    </w:p>
    <w:p>
      <w:pPr>
        <w:pStyle w:val="Heading1"/>
        <w:rPr>
          <w:lang w:val="en-GB"/>
        </w:rPr>
      </w:pPr>
      <w:r>
        <w:rPr>
          <w:lang w:val="en-GB"/>
        </w:rPr>
        <w:t>Major Building Works</w:t>
      </w:r>
    </w:p>
    <w:p>
      <w:pPr>
        <w:pStyle w:val="Normal"/>
        <w:rPr>
          <w:lang w:val="en-GB"/>
        </w:rPr>
      </w:pPr>
      <w:r>
        <w:rPr>
          <w:shd w:fill="auto" w:val="clear"/>
          <w:lang w:val="en-GB"/>
        </w:rPr>
        <w:t>[SHORT PARAGRAPHS ABOUT MAJOR WORKS]</w:t>
      </w:r>
    </w:p>
    <w:p>
      <w:pPr>
        <w:pStyle w:val="Heading1"/>
        <w:rPr>
          <w:lang w:val="en-GB"/>
        </w:rPr>
      </w:pPr>
      <w:r>
        <w:rPr>
          <w:lang w:val="en-GB"/>
        </w:rPr>
        <w:t>Electoral Roll</w:t>
      </w:r>
    </w:p>
    <w:p>
      <w:pPr>
        <w:pStyle w:val="Normal"/>
        <w:rPr>
          <w:lang w:val="en-GB"/>
        </w:rPr>
      </w:pPr>
      <w:r>
        <w:rPr>
          <w:lang w:val="en-GB"/>
        </w:rPr>
        <w:t xml:space="preserve">At the APCM in </w:t>
      </w:r>
      <w:r>
        <w:rPr>
          <w:lang w:val="en-GB"/>
        </w:rPr>
        <w:t>YYYY</w:t>
      </w:r>
      <w:r>
        <w:rPr>
          <w:lang w:val="en-GB"/>
        </w:rPr>
        <w:t xml:space="preserve">, there were </w:t>
      </w:r>
      <w:r>
        <w:rPr>
          <w:shd w:fill="auto" w:val="clear"/>
          <w:lang w:val="en-GB"/>
        </w:rPr>
        <w:t>NN</w:t>
      </w:r>
      <w:r>
        <w:rPr>
          <w:lang w:val="en-GB"/>
        </w:rPr>
        <w:t xml:space="preserve"> entries on the roll (</w:t>
      </w:r>
      <w:r>
        <w:rPr>
          <w:lang w:val="en-GB"/>
        </w:rPr>
        <w:t>MM</w:t>
      </w:r>
      <w:r>
        <w:rPr>
          <w:shd w:fill="auto" w:val="clear"/>
          <w:lang w:val="en-GB"/>
        </w:rPr>
        <w:t xml:space="preserve"> </w:t>
      </w:r>
      <w:r>
        <w:rPr>
          <w:lang w:val="en-GB"/>
        </w:rPr>
        <w:t xml:space="preserve">resident, </w:t>
      </w:r>
      <w:r>
        <w:rPr>
          <w:shd w:fill="auto" w:val="clear"/>
          <w:lang w:val="en-GB"/>
        </w:rPr>
        <w:t>XX</w:t>
      </w:r>
      <w:r>
        <w:rPr>
          <w:lang w:val="en-GB"/>
        </w:rPr>
        <w:t xml:space="preserve"> non-resident).</w:t>
      </w:r>
    </w:p>
    <w:p>
      <w:pPr>
        <w:pStyle w:val="Heading1"/>
        <w:rPr>
          <w:lang w:val="en-GB"/>
        </w:rPr>
      </w:pPr>
      <w:r>
        <w:rPr>
          <w:lang w:val="en-GB"/>
        </w:rPr>
        <w:t>Worship and Prayer</w:t>
      </w:r>
    </w:p>
    <w:p>
      <w:pPr>
        <w:pStyle w:val="Normal"/>
        <w:rPr>
          <w:lang w:val="en-GB"/>
        </w:rPr>
      </w:pPr>
      <w:r>
        <w:rPr>
          <w:lang w:val="en-GB"/>
        </w:rPr>
        <w:t xml:space="preserve">Average attendance on ordinary Sundays during </w:t>
      </w:r>
      <w:r>
        <w:rPr>
          <w:lang w:val="en-GB"/>
        </w:rPr>
        <w:t>YYYY</w:t>
      </w:r>
      <w:r>
        <w:rPr>
          <w:lang w:val="en-GB"/>
        </w:rPr>
        <w:t xml:space="preserve"> w</w:t>
      </w:r>
      <w:r>
        <w:rPr>
          <w:shd w:fill="auto" w:val="clear"/>
          <w:lang w:val="en-GB"/>
        </w:rPr>
        <w:t xml:space="preserve">as </w:t>
      </w:r>
      <w:r>
        <w:rPr>
          <w:shd w:fill="auto" w:val="clear"/>
          <w:lang w:val="en-GB"/>
        </w:rPr>
        <w:t>NN</w:t>
      </w:r>
      <w:r>
        <w:rPr>
          <w:shd w:fill="auto" w:val="clear"/>
          <w:lang w:val="en-GB"/>
        </w:rPr>
        <w:t xml:space="preserve"> adults and </w:t>
      </w:r>
      <w:r>
        <w:rPr>
          <w:shd w:fill="auto" w:val="clear"/>
          <w:lang w:val="en-GB"/>
        </w:rPr>
        <w:t>MM</w:t>
      </w:r>
      <w:r>
        <w:rPr>
          <w:shd w:fill="auto" w:val="clear"/>
          <w:lang w:val="en-GB"/>
        </w:rPr>
        <w:t xml:space="preserve"> children (un</w:t>
      </w:r>
      <w:r>
        <w:rPr>
          <w:lang w:val="en-GB"/>
        </w:rPr>
        <w:t xml:space="preserve">der 16).  This matches the </w:t>
      </w:r>
      <w:r>
        <w:rPr>
          <w:lang w:val="en-GB"/>
        </w:rPr>
        <w:t>[LAST YEAR]</w:t>
      </w:r>
      <w:r>
        <w:rPr>
          <w:lang w:val="en-GB"/>
        </w:rPr>
        <w:t xml:space="preserve"> figures.</w:t>
      </w:r>
    </w:p>
    <w:p>
      <w:pPr>
        <w:pStyle w:val="Normal"/>
        <w:rPr>
          <w:lang w:val="en-GB"/>
        </w:rPr>
      </w:pPr>
      <w:r>
        <w:rPr>
          <w:lang w:val="en-GB"/>
        </w:rPr>
        <w:t xml:space="preserve">The Sunday School continued to meet during 10.30am services at </w:t>
      </w:r>
      <w:r>
        <w:rPr>
          <w:lang w:val="en-GB"/>
        </w:rPr>
        <w:t>[CHURCH]</w:t>
      </w:r>
      <w:r>
        <w:rPr>
          <w:lang w:val="en-GB"/>
        </w:rPr>
        <w:t xml:space="preserve">.  This continues to prove popular with parents and children, and is a key area for growth.  Online streaming of services continued throughout </w:t>
      </w:r>
      <w:r>
        <w:rPr>
          <w:lang w:val="en-GB"/>
        </w:rPr>
        <w:t>YYYY</w:t>
      </w:r>
      <w:r>
        <w:rPr>
          <w:lang w:val="en-GB"/>
        </w:rPr>
        <w:t xml:space="preserve">, and will be an ongoing part of the ministry of the church.  </w:t>
      </w:r>
    </w:p>
    <w:p>
      <w:pPr>
        <w:pStyle w:val="Normal"/>
        <w:rPr>
          <w:lang w:val="en-GB"/>
        </w:rPr>
      </w:pPr>
      <w:r>
        <w:rPr>
          <w:lang w:val="en-GB"/>
        </w:rPr>
        <w:t xml:space="preserve">The midweek service of Morning Prayer continued in </w:t>
      </w:r>
      <w:r>
        <w:rPr>
          <w:lang w:val="en-GB"/>
        </w:rPr>
        <w:t>YYYY</w:t>
      </w:r>
      <w:r>
        <w:rPr>
          <w:lang w:val="en-GB"/>
        </w:rPr>
        <w:t xml:space="preserve">, this regularly attracts around </w:t>
      </w:r>
      <w:r>
        <w:rPr>
          <w:lang w:val="en-GB"/>
        </w:rPr>
        <w:t>NN</w:t>
      </w:r>
      <w:r>
        <w:rPr>
          <w:lang w:val="en-GB"/>
        </w:rPr>
        <w:t xml:space="preserve"> people.</w:t>
      </w:r>
    </w:p>
    <w:p>
      <w:pPr>
        <w:pStyle w:val="Heading1"/>
        <w:rPr>
          <w:lang w:val="en-GB"/>
        </w:rPr>
      </w:pPr>
      <w:r>
        <w:rPr>
          <w:lang w:val="en-GB"/>
        </w:rPr>
        <w:t>Deanery Synod</w:t>
      </w:r>
    </w:p>
    <w:p>
      <w:pPr>
        <w:pStyle w:val="Normal"/>
        <w:rPr>
          <w:lang w:val="en-GB"/>
        </w:rPr>
      </w:pPr>
      <w:r>
        <w:rPr>
          <w:lang w:val="en-GB"/>
        </w:rPr>
        <w:t xml:space="preserve">During the year </w:t>
      </w:r>
      <w:r>
        <w:rPr>
          <w:rFonts w:ascii="Fira Sans;Calibri" w:hAnsi="Fira Sans;Calibri"/>
          <w:lang w:val="en-GB"/>
        </w:rPr>
        <w:t>one</w:t>
      </w:r>
      <w:r>
        <w:rPr>
          <w:lang w:val="en-GB"/>
        </w:rPr>
        <w:t xml:space="preserve"> member of the PCC, as well as the vicar (Rural Dean), sat on </w:t>
      </w:r>
      <w:r>
        <w:rPr>
          <w:lang w:val="en-GB"/>
        </w:rPr>
        <w:t>[DEANERY]</w:t>
      </w:r>
      <w:r>
        <w:rPr>
          <w:lang w:val="en-GB"/>
        </w:rPr>
        <w:t xml:space="preserve"> Deanery Synod.  This provides the PCC with an important link between the parish and the wider structures of the Church of England.</w:t>
      </w:r>
    </w:p>
    <w:p>
      <w:pPr>
        <w:pStyle w:val="Heading1"/>
        <w:rPr>
          <w:lang w:val="en-GB"/>
        </w:rPr>
      </w:pPr>
      <w:r>
        <w:rPr>
          <w:lang w:val="en-GB"/>
        </w:rPr>
        <w:t>Celebrating life events</w:t>
      </w:r>
    </w:p>
    <w:p>
      <w:pPr>
        <w:pStyle w:val="Normal"/>
        <w:rPr>
          <w:lang w:val="en-GB"/>
        </w:rPr>
      </w:pPr>
      <w:r>
        <w:rPr>
          <w:lang w:val="en-GB"/>
        </w:rPr>
        <w:t>As well as our regular services, we help our community to celebrate and thank God at the milestones of the journey through life.  In</w:t>
      </w:r>
      <w:r>
        <w:rPr>
          <w:shd w:fill="auto" w:val="clear"/>
          <w:lang w:val="en-GB"/>
        </w:rPr>
        <w:t xml:space="preserve"> </w:t>
      </w:r>
      <w:r>
        <w:rPr>
          <w:shd w:fill="auto" w:val="clear"/>
          <w:lang w:val="en-GB"/>
        </w:rPr>
        <w:t>YYYY</w:t>
      </w:r>
      <w:r>
        <w:rPr>
          <w:shd w:fill="auto" w:val="clear"/>
          <w:lang w:val="en-GB"/>
        </w:rPr>
        <w:t xml:space="preserve">, </w:t>
      </w:r>
      <w:r>
        <w:rPr>
          <w:shd w:fill="auto" w:val="clear"/>
          <w:lang w:val="en-GB"/>
        </w:rPr>
        <w:t>N</w:t>
      </w:r>
      <w:r>
        <w:rPr>
          <w:shd w:fill="auto" w:val="clear"/>
          <w:lang w:val="en-GB"/>
        </w:rPr>
        <w:t xml:space="preserve"> child</w:t>
      </w:r>
      <w:r>
        <w:rPr>
          <w:shd w:fill="auto" w:val="clear"/>
          <w:lang w:val="en-GB"/>
        </w:rPr>
        <w:t>ren</w:t>
      </w:r>
      <w:r>
        <w:rPr>
          <w:rFonts w:ascii="Fira Sans;Calibri" w:hAnsi="Fira Sans;Calibri"/>
          <w:shd w:fill="auto" w:val="clear"/>
          <w:lang w:val="en-GB"/>
        </w:rPr>
        <w:t xml:space="preserve"> </w:t>
      </w:r>
      <w:r>
        <w:rPr>
          <w:shd w:fill="auto" w:val="clear"/>
          <w:lang w:val="en-GB"/>
        </w:rPr>
        <w:t>w</w:t>
      </w:r>
      <w:r>
        <w:rPr>
          <w:shd w:fill="auto" w:val="clear"/>
          <w:lang w:val="en-GB"/>
        </w:rPr>
        <w:t>ere</w:t>
      </w:r>
      <w:r>
        <w:rPr>
          <w:shd w:fill="auto" w:val="clear"/>
          <w:lang w:val="en-GB"/>
        </w:rPr>
        <w:t xml:space="preserve"> baptized in the parish. During the year, there were </w:t>
      </w:r>
      <w:r>
        <w:rPr>
          <w:shd w:fill="auto" w:val="clear"/>
          <w:lang w:val="en-GB"/>
        </w:rPr>
        <w:t>M</w:t>
      </w:r>
      <w:r>
        <w:rPr>
          <w:shd w:fill="auto" w:val="clear"/>
          <w:lang w:val="en-GB"/>
        </w:rPr>
        <w:t xml:space="preserve"> marriages in our churches.  In </w:t>
      </w:r>
      <w:r>
        <w:rPr>
          <w:shd w:fill="auto" w:val="clear"/>
          <w:lang w:val="en-GB"/>
        </w:rPr>
        <w:t>YYYY</w:t>
      </w:r>
      <w:r>
        <w:rPr>
          <w:shd w:fill="auto" w:val="clear"/>
          <w:lang w:val="en-GB"/>
        </w:rPr>
        <w:t xml:space="preserve"> we conducted </w:t>
      </w:r>
      <w:r>
        <w:rPr>
          <w:shd w:fill="auto" w:val="clear"/>
          <w:lang w:val="en-GB"/>
        </w:rPr>
        <w:t xml:space="preserve">X </w:t>
      </w:r>
      <w:r>
        <w:rPr>
          <w:shd w:fill="auto" w:val="clear"/>
          <w:lang w:val="en-GB"/>
        </w:rPr>
        <w:t>funerals in our churches</w:t>
      </w:r>
      <w:r>
        <w:rPr>
          <w:color w:val="000000"/>
          <w:shd w:fill="auto" w:val="clear"/>
          <w:lang w:val="en-GB"/>
        </w:rPr>
        <w:t xml:space="preserve">.  </w:t>
      </w:r>
    </w:p>
    <w:p>
      <w:pPr>
        <w:pStyle w:val="Heading1"/>
        <w:rPr>
          <w:lang w:val="en-GB"/>
        </w:rPr>
      </w:pPr>
      <w:r>
        <w:rPr>
          <w:lang w:val="en-GB"/>
        </w:rPr>
        <w:t>Pastoral Care</w:t>
      </w:r>
    </w:p>
    <w:p>
      <w:pPr>
        <w:pStyle w:val="Normal"/>
        <w:rPr>
          <w:lang w:val="en-GB"/>
        </w:rPr>
      </w:pPr>
      <w:r>
        <w:rPr>
          <w:lang w:val="en-GB"/>
        </w:rPr>
        <w:t>The prayer chain, comprising a number of committed parishioners, responds to requests from those in need.  The pastoral team meets regularly to consider and act upon the needs of those requiring help.</w:t>
      </w:r>
    </w:p>
    <w:p>
      <w:pPr>
        <w:pStyle w:val="Normal"/>
        <w:rPr>
          <w:lang w:val="en-GB"/>
        </w:rPr>
      </w:pPr>
      <w:r>
        <w:rPr>
          <w:lang w:val="en-GB"/>
        </w:rPr>
        <w:t>Lay members and the Vicar make visits to the sick, bereaved and others needing pastoral support.  Holy Communion is distributed by those authorised to sick and housebound parishioners in their homes.</w:t>
      </w:r>
    </w:p>
    <w:p>
      <w:pPr>
        <w:pStyle w:val="Heading1"/>
        <w:rPr>
          <w:lang w:val="en-GB"/>
        </w:rPr>
      </w:pPr>
      <w:r>
        <w:rPr>
          <w:lang w:val="en-GB"/>
        </w:rPr>
        <w:t>Social and community events</w:t>
      </w:r>
    </w:p>
    <w:p>
      <w:pPr>
        <w:pStyle w:val="Normal"/>
        <w:keepNext w:val="true"/>
        <w:keepLines/>
        <w:rPr>
          <w:lang w:val="en-GB"/>
        </w:rPr>
      </w:pPr>
      <w:r>
        <w:rPr>
          <w:color w:val="000000"/>
          <w:lang w:val="en-GB"/>
        </w:rPr>
        <w:t>[SHORT PARAGRAPHS ABOUT KEY EVENTS]</w:t>
      </w:r>
    </w:p>
    <w:p>
      <w:pPr>
        <w:pStyle w:val="Heading1"/>
        <w:rPr>
          <w:lang w:val="en-GB"/>
        </w:rPr>
      </w:pPr>
      <w:r>
        <w:rPr>
          <w:lang w:val="en-GB"/>
        </w:rPr>
        <w:t>Mission and Outreach</w:t>
      </w:r>
    </w:p>
    <w:p>
      <w:pPr>
        <w:pStyle w:val="Normal"/>
        <w:keepNext w:val="true"/>
        <w:keepLines/>
        <w:rPr>
          <w:lang w:val="en-GB"/>
        </w:rPr>
      </w:pPr>
      <w:r>
        <w:rPr>
          <w:lang w:val="en-GB"/>
        </w:rPr>
        <w:t>[SHORT PARAGRAPHS ABOUT KEY EVENTS]</w:t>
      </w:r>
    </w:p>
    <w:p>
      <w:pPr>
        <w:pStyle w:val="Heading1"/>
        <w:rPr>
          <w:lang w:val="en-GB"/>
        </w:rPr>
      </w:pPr>
      <w:r>
        <w:rPr>
          <w:lang w:val="en-GB"/>
        </w:rPr>
        <w:t>Communication</w:t>
      </w:r>
    </w:p>
    <w:p>
      <w:pPr>
        <w:pStyle w:val="Normal"/>
        <w:rPr>
          <w:lang w:val="en-GB"/>
        </w:rPr>
      </w:pPr>
      <w:r>
        <w:rPr>
          <w:lang w:val="en-GB"/>
        </w:rPr>
        <w:t>We continue to update the website regularly, and to use social media to publicise events and services.</w:t>
      </w:r>
    </w:p>
    <w:p>
      <w:pPr>
        <w:pStyle w:val="Normal"/>
        <w:rPr>
          <w:lang w:val="en-GB"/>
        </w:rPr>
      </w:pPr>
      <w:r>
        <w:rPr>
          <w:lang w:val="en-GB"/>
        </w:rPr>
        <w:t>During the week, there are emails sent to those on our contact database.  The main email (usually sent on Fridays) is an update email containing news and notices for the week, as well as links to our online services.  Other emails are sent as required.</w:t>
      </w:r>
    </w:p>
    <w:p>
      <w:pPr>
        <w:pStyle w:val="Heading1"/>
        <w:rPr>
          <w:lang w:val="en-GB"/>
        </w:rPr>
      </w:pPr>
      <w:r>
        <w:rPr>
          <w:sz w:val="26"/>
          <w:szCs w:val="26"/>
          <w:lang w:val="en-GB"/>
        </w:rPr>
        <w:t>Church Family</w:t>
      </w:r>
    </w:p>
    <w:p>
      <w:pPr>
        <w:pStyle w:val="Normal"/>
        <w:rPr>
          <w:lang w:val="en-GB"/>
        </w:rPr>
      </w:pPr>
      <w:r>
        <w:rPr>
          <w:lang w:val="en-GB"/>
        </w:rPr>
        <w:t>We remain thankful to the many members of the church family who work so hard to make our church the welcoming, lively and vibrant community it is.  In particular we want to thank our churchwardens and members of the PCC for their tireless work and their valuable contribution to our mission and ministry.</w:t>
      </w:r>
    </w:p>
    <w:p>
      <w:pPr>
        <w:pStyle w:val="Heading1"/>
        <w:rPr>
          <w:lang w:val="en-GB"/>
        </w:rPr>
      </w:pPr>
      <w:r>
        <w:rPr>
          <w:lang w:val="en-GB"/>
        </w:rPr>
        <w:t>Safeguarding</w:t>
      </w:r>
    </w:p>
    <w:p>
      <w:pPr>
        <w:pStyle w:val="Normal"/>
        <w:rPr>
          <w:lang w:val="en-GB"/>
        </w:rPr>
      </w:pPr>
      <w:r>
        <w:rPr>
          <w:lang w:val="en-GB"/>
        </w:rPr>
        <w:t>We have continued the process of reviewing our policies and have ensured that the PCC complies with the duty under section 5 of the Safeguarding and Clergy Discipline Measure 2016 (duty to have due regard to House of Bishops’ guidance on safeguarding children and vulnerable adults).</w:t>
      </w:r>
    </w:p>
    <w:p>
      <w:pPr>
        <w:pStyle w:val="Normal"/>
        <w:rPr>
          <w:lang w:val="en-GB"/>
        </w:rPr>
      </w:pPr>
      <w:r>
        <w:rPr>
          <w:lang w:val="en-GB"/>
        </w:rPr>
      </w:r>
    </w:p>
    <w:p>
      <w:pPr>
        <w:pStyle w:val="Normal"/>
        <w:rPr>
          <w:lang w:val="en-GB"/>
        </w:rPr>
      </w:pPr>
      <w:r>
        <w:rPr>
          <w:lang w:val="en-GB"/>
        </w:rPr>
      </w:r>
    </w:p>
    <w:p>
      <w:pPr>
        <w:pStyle w:val="Heading1"/>
        <w:rPr>
          <w:lang w:val="en-GB"/>
        </w:rPr>
      </w:pPr>
      <w:r>
        <w:rPr>
          <w:lang w:val="en-GB"/>
        </w:rPr>
      </w:r>
    </w:p>
    <w:p>
      <w:pPr>
        <w:pStyle w:val="Normal"/>
        <w:spacing w:lineRule="auto" w:line="240" w:before="0" w:after="0"/>
        <w:rPr>
          <w:lang w:val="en-GB"/>
        </w:rPr>
      </w:pPr>
      <w:r>
        <w:rPr>
          <w:lang w:val="en-GB"/>
        </w:rPr>
      </w:r>
      <w:r>
        <w:br w:type="page"/>
      </w:r>
    </w:p>
    <w:p>
      <w:pPr>
        <w:pStyle w:val="Heading1"/>
        <w:spacing w:before="0" w:after="0"/>
        <w:rPr>
          <w:lang w:val="en-GB"/>
        </w:rPr>
      </w:pPr>
      <w:r>
        <w:rPr>
          <w:lang w:val="en-GB"/>
        </w:rPr>
        <w:t xml:space="preserve">Financial Review </w:t>
      </w:r>
    </w:p>
    <w:tbl>
      <w:tblPr>
        <w:tblStyle w:val="TableGrid"/>
        <w:tblW w:w="1075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940"/>
        <w:gridCol w:w="1410"/>
        <w:gridCol w:w="1786"/>
        <w:gridCol w:w="1221"/>
        <w:gridCol w:w="1604"/>
        <w:gridCol w:w="1794"/>
      </w:tblGrid>
      <w:tr>
        <w:trPr>
          <w:trHeight w:val="276" w:hRule="atLeast"/>
        </w:trPr>
        <w:tc>
          <w:tcPr>
            <w:tcW w:w="2940" w:type="dxa"/>
            <w:tcBorders/>
          </w:tcPr>
          <w:p>
            <w:pPr>
              <w:pStyle w:val="Normal"/>
              <w:widowControl/>
              <w:suppressAutoHyphens w:val="true"/>
              <w:spacing w:before="0" w:after="113"/>
              <w:jc w:val="start"/>
              <w:rPr>
                <w:lang w:val="en-GB"/>
              </w:rPr>
            </w:pPr>
            <w:r>
              <w:rPr>
                <w:b/>
                <w:bCs/>
                <w:kern w:val="0"/>
                <w:lang w:val="en-GB"/>
              </w:rPr>
              <w:t>Financial Review</w:t>
            </w:r>
          </w:p>
        </w:tc>
        <w:tc>
          <w:tcPr>
            <w:tcW w:w="1410" w:type="dxa"/>
            <w:tcBorders/>
          </w:tcPr>
          <w:p>
            <w:pPr>
              <w:pStyle w:val="Normal"/>
              <w:widowControl/>
              <w:suppressAutoHyphens w:val="true"/>
              <w:spacing w:before="0" w:after="113"/>
              <w:jc w:val="start"/>
              <w:rPr>
                <w:b/>
                <w:bCs/>
                <w:lang w:val="en-GB"/>
              </w:rPr>
            </w:pPr>
            <w:r>
              <w:rPr>
                <w:b/>
                <w:bCs/>
                <w:lang w:val="en-GB"/>
              </w:rPr>
            </w:r>
          </w:p>
        </w:tc>
        <w:tc>
          <w:tcPr>
            <w:tcW w:w="1786" w:type="dxa"/>
            <w:tcBorders/>
          </w:tcPr>
          <w:p>
            <w:pPr>
              <w:pStyle w:val="Normal"/>
              <w:widowControl/>
              <w:suppressAutoHyphens w:val="true"/>
              <w:spacing w:before="0" w:after="113"/>
              <w:jc w:val="start"/>
              <w:rPr>
                <w:kern w:val="0"/>
                <w:lang w:val="en-GB"/>
              </w:rPr>
            </w:pPr>
            <w:r>
              <w:rPr>
                <w:kern w:val="0"/>
                <w:lang w:val="en-GB"/>
              </w:rPr>
            </w:r>
          </w:p>
        </w:tc>
        <w:tc>
          <w:tcPr>
            <w:tcW w:w="1221" w:type="dxa"/>
            <w:tcBorders/>
          </w:tcPr>
          <w:p>
            <w:pPr>
              <w:pStyle w:val="Normal"/>
              <w:widowControl/>
              <w:suppressAutoHyphens w:val="true"/>
              <w:spacing w:before="0" w:after="113"/>
              <w:jc w:val="start"/>
              <w:rPr>
                <w:kern w:val="0"/>
                <w:lang w:val="en-GB"/>
              </w:rPr>
            </w:pPr>
            <w:r>
              <w:rPr>
                <w:kern w:val="0"/>
                <w:lang w:val="en-GB"/>
              </w:rPr>
            </w:r>
          </w:p>
        </w:tc>
        <w:tc>
          <w:tcPr>
            <w:tcW w:w="1604" w:type="dxa"/>
            <w:tcBorders/>
          </w:tcPr>
          <w:p>
            <w:pPr>
              <w:pStyle w:val="Normal"/>
              <w:widowControl/>
              <w:suppressAutoHyphens w:val="true"/>
              <w:spacing w:before="0" w:after="113"/>
              <w:jc w:val="start"/>
              <w:rPr>
                <w:kern w:val="0"/>
                <w:lang w:val="en-GB"/>
              </w:rPr>
            </w:pPr>
            <w:r>
              <w:rPr>
                <w:kern w:val="0"/>
                <w:lang w:val="en-GB"/>
              </w:rPr>
            </w:r>
          </w:p>
        </w:tc>
        <w:tc>
          <w:tcPr>
            <w:tcW w:w="1794" w:type="dxa"/>
            <w:tcBorders/>
          </w:tcPr>
          <w:p>
            <w:pPr>
              <w:pStyle w:val="Normal"/>
              <w:widowControl/>
              <w:suppressAutoHyphens w:val="true"/>
              <w:spacing w:before="0" w:after="113"/>
              <w:jc w:val="start"/>
              <w:rPr>
                <w:kern w:val="0"/>
                <w:lang w:val="en-GB"/>
              </w:rPr>
            </w:pPr>
            <w:r>
              <w:rPr>
                <w:kern w:val="0"/>
                <w:lang w:val="en-GB"/>
              </w:rPr>
            </w:r>
          </w:p>
        </w:tc>
      </w:tr>
      <w:tr>
        <w:trPr>
          <w:trHeight w:val="276" w:hRule="atLeast"/>
        </w:trPr>
        <w:tc>
          <w:tcPr>
            <w:tcW w:w="10755" w:type="dxa"/>
            <w:gridSpan w:val="6"/>
            <w:tcBorders/>
          </w:tcPr>
          <w:p>
            <w:pPr>
              <w:pStyle w:val="Normal"/>
              <w:widowControl/>
              <w:suppressAutoHyphens w:val="true"/>
              <w:spacing w:before="0" w:after="113"/>
              <w:jc w:val="start"/>
              <w:rPr>
                <w:lang w:val="en-GB"/>
              </w:rPr>
            </w:pPr>
            <w:bookmarkStart w:id="0" w:name="RANGE!A2%253AF28"/>
            <w:r>
              <w:rPr>
                <w:kern w:val="0"/>
                <w:lang w:val="en-GB"/>
              </w:rPr>
              <w:t xml:space="preserve">The results for each type of fund and its constituents are shown in Note </w:t>
            </w:r>
            <w:r>
              <w:rPr>
                <w:kern w:val="0"/>
                <w:lang w:val="en-GB"/>
              </w:rPr>
              <w:t>NN</w:t>
            </w:r>
            <w:r>
              <w:rPr>
                <w:kern w:val="0"/>
                <w:lang w:val="en-GB"/>
              </w:rPr>
              <w:t xml:space="preserve"> on page </w:t>
            </w:r>
            <w:r>
              <w:rPr>
                <w:kern w:val="0"/>
                <w:lang w:val="en-GB"/>
              </w:rPr>
              <w:t>MM</w:t>
            </w:r>
            <w:r>
              <w:rPr>
                <w:kern w:val="0"/>
                <w:lang w:val="en-GB"/>
              </w:rPr>
              <w:t>.  In summary:</w:t>
            </w:r>
            <w:bookmarkEnd w:id="0"/>
          </w:p>
        </w:tc>
      </w:tr>
      <w:tr>
        <w:trPr>
          <w:trHeight w:val="552" w:hRule="atLeast"/>
        </w:trPr>
        <w:tc>
          <w:tcPr>
            <w:tcW w:w="2940" w:type="dxa"/>
            <w:tcBorders/>
          </w:tcPr>
          <w:p>
            <w:pPr>
              <w:pStyle w:val="Normal"/>
              <w:widowControl/>
              <w:suppressAutoHyphens w:val="true"/>
              <w:spacing w:before="0" w:after="113"/>
              <w:jc w:val="start"/>
              <w:rPr>
                <w:kern w:val="0"/>
                <w:lang w:val="en-GB"/>
              </w:rPr>
            </w:pPr>
            <w:r>
              <w:rPr>
                <w:kern w:val="0"/>
                <w:lang w:val="en-GB"/>
              </w:rPr>
            </w:r>
          </w:p>
        </w:tc>
        <w:tc>
          <w:tcPr>
            <w:tcW w:w="1410" w:type="dxa"/>
            <w:tcBorders/>
          </w:tcPr>
          <w:p>
            <w:pPr>
              <w:pStyle w:val="Normal"/>
              <w:widowControl/>
              <w:suppressAutoHyphens w:val="true"/>
              <w:spacing w:before="0" w:after="113"/>
              <w:jc w:val="end"/>
              <w:rPr>
                <w:lang w:val="en-GB"/>
              </w:rPr>
            </w:pPr>
            <w:r>
              <w:rPr>
                <w:b/>
                <w:bCs/>
                <w:kern w:val="0"/>
                <w:sz w:val="20"/>
                <w:szCs w:val="20"/>
                <w:lang w:val="en-GB"/>
              </w:rPr>
              <w:t>Unrestricted General Fund</w:t>
            </w:r>
          </w:p>
        </w:tc>
        <w:tc>
          <w:tcPr>
            <w:tcW w:w="1786" w:type="dxa"/>
            <w:tcBorders/>
          </w:tcPr>
          <w:p>
            <w:pPr>
              <w:pStyle w:val="Normal"/>
              <w:widowControl/>
              <w:suppressAutoHyphens w:val="true"/>
              <w:spacing w:before="0" w:after="113"/>
              <w:jc w:val="end"/>
              <w:rPr>
                <w:lang w:val="en-GB"/>
              </w:rPr>
            </w:pPr>
            <w:r>
              <w:rPr>
                <w:b/>
                <w:bCs/>
                <w:kern w:val="0"/>
                <w:sz w:val="20"/>
                <w:szCs w:val="20"/>
                <w:lang w:val="en-GB"/>
              </w:rPr>
              <w:t>Unrestricted Designated Funds</w:t>
            </w:r>
          </w:p>
        </w:tc>
        <w:tc>
          <w:tcPr>
            <w:tcW w:w="1221" w:type="dxa"/>
            <w:tcBorders/>
          </w:tcPr>
          <w:p>
            <w:pPr>
              <w:pStyle w:val="Normal"/>
              <w:widowControl/>
              <w:suppressAutoHyphens w:val="true"/>
              <w:spacing w:before="0" w:after="113"/>
              <w:jc w:val="end"/>
              <w:rPr>
                <w:lang w:val="en-GB"/>
              </w:rPr>
            </w:pPr>
            <w:r>
              <w:rPr>
                <w:b/>
                <w:bCs/>
                <w:kern w:val="0"/>
                <w:sz w:val="20"/>
                <w:szCs w:val="20"/>
                <w:lang w:val="en-GB"/>
              </w:rPr>
              <w:t>Restricted Funds</w:t>
            </w:r>
          </w:p>
        </w:tc>
        <w:tc>
          <w:tcPr>
            <w:tcW w:w="1604" w:type="dxa"/>
            <w:tcBorders/>
          </w:tcPr>
          <w:p>
            <w:pPr>
              <w:pStyle w:val="Normal"/>
              <w:widowControl/>
              <w:suppressAutoHyphens w:val="true"/>
              <w:spacing w:before="0" w:after="113"/>
              <w:jc w:val="end"/>
              <w:rPr>
                <w:lang w:val="en-GB"/>
              </w:rPr>
            </w:pPr>
            <w:r>
              <w:rPr>
                <w:b/>
                <w:bCs/>
                <w:kern w:val="0"/>
                <w:sz w:val="20"/>
                <w:szCs w:val="20"/>
                <w:lang w:val="en-GB"/>
              </w:rPr>
              <w:t>Restricted Endowment Fund</w:t>
            </w:r>
          </w:p>
        </w:tc>
        <w:tc>
          <w:tcPr>
            <w:tcW w:w="1794" w:type="dxa"/>
            <w:tcBorders/>
          </w:tcPr>
          <w:p>
            <w:pPr>
              <w:pStyle w:val="Normal"/>
              <w:widowControl/>
              <w:suppressAutoHyphens w:val="true"/>
              <w:spacing w:before="0" w:after="113"/>
              <w:jc w:val="end"/>
              <w:rPr>
                <w:lang w:val="en-GB"/>
              </w:rPr>
            </w:pPr>
            <w:r>
              <w:rPr>
                <w:b/>
                <w:bCs/>
                <w:kern w:val="0"/>
                <w:sz w:val="20"/>
                <w:szCs w:val="20"/>
                <w:lang w:val="en-GB"/>
              </w:rPr>
              <w:t>Total of all Funds</w:t>
            </w:r>
          </w:p>
        </w:tc>
      </w:tr>
      <w:tr>
        <w:trPr>
          <w:trHeight w:val="276" w:hRule="atLeast"/>
        </w:trPr>
        <w:tc>
          <w:tcPr>
            <w:tcW w:w="2940" w:type="dxa"/>
            <w:tcBorders/>
          </w:tcPr>
          <w:p>
            <w:pPr>
              <w:pStyle w:val="Normal"/>
              <w:widowControl/>
              <w:suppressAutoHyphens w:val="true"/>
              <w:spacing w:before="0" w:after="113"/>
              <w:jc w:val="start"/>
              <w:rPr>
                <w:b/>
                <w:bCs/>
                <w:lang w:val="en-GB"/>
              </w:rPr>
            </w:pPr>
            <w:r>
              <w:rPr>
                <w:b/>
                <w:bCs/>
                <w:lang w:val="en-GB"/>
              </w:rPr>
            </w:r>
          </w:p>
        </w:tc>
        <w:tc>
          <w:tcPr>
            <w:tcW w:w="1410" w:type="dxa"/>
            <w:tcBorders/>
          </w:tcPr>
          <w:p>
            <w:pPr>
              <w:pStyle w:val="Normal"/>
              <w:widowControl/>
              <w:suppressAutoHyphens w:val="true"/>
              <w:spacing w:before="0" w:after="113"/>
              <w:jc w:val="end"/>
              <w:rPr>
                <w:lang w:val="en-GB"/>
              </w:rPr>
            </w:pPr>
            <w:r>
              <w:rPr>
                <w:b/>
                <w:bCs/>
                <w:kern w:val="0"/>
                <w:lang w:val="en-GB"/>
              </w:rPr>
              <w:t>£</w:t>
            </w:r>
          </w:p>
        </w:tc>
        <w:tc>
          <w:tcPr>
            <w:tcW w:w="1786" w:type="dxa"/>
            <w:tcBorders/>
          </w:tcPr>
          <w:p>
            <w:pPr>
              <w:pStyle w:val="Normal"/>
              <w:widowControl/>
              <w:suppressAutoHyphens w:val="true"/>
              <w:spacing w:before="0" w:after="113"/>
              <w:jc w:val="end"/>
              <w:rPr>
                <w:lang w:val="en-GB"/>
              </w:rPr>
            </w:pPr>
            <w:r>
              <w:rPr>
                <w:b/>
                <w:bCs/>
                <w:kern w:val="0"/>
                <w:lang w:val="en-GB"/>
              </w:rPr>
              <w:t>£</w:t>
            </w:r>
          </w:p>
        </w:tc>
        <w:tc>
          <w:tcPr>
            <w:tcW w:w="1221" w:type="dxa"/>
            <w:tcBorders/>
          </w:tcPr>
          <w:p>
            <w:pPr>
              <w:pStyle w:val="Normal"/>
              <w:widowControl/>
              <w:suppressAutoHyphens w:val="true"/>
              <w:spacing w:before="0" w:after="113"/>
              <w:jc w:val="end"/>
              <w:rPr>
                <w:lang w:val="en-GB"/>
              </w:rPr>
            </w:pPr>
            <w:r>
              <w:rPr>
                <w:b/>
                <w:bCs/>
                <w:kern w:val="0"/>
                <w:lang w:val="en-GB"/>
              </w:rPr>
              <w:t>£</w:t>
            </w:r>
          </w:p>
        </w:tc>
        <w:tc>
          <w:tcPr>
            <w:tcW w:w="1604" w:type="dxa"/>
            <w:tcBorders/>
          </w:tcPr>
          <w:p>
            <w:pPr>
              <w:pStyle w:val="Normal"/>
              <w:widowControl/>
              <w:suppressAutoHyphens w:val="true"/>
              <w:spacing w:before="0" w:after="113"/>
              <w:jc w:val="end"/>
              <w:rPr>
                <w:lang w:val="en-GB"/>
              </w:rPr>
            </w:pPr>
            <w:r>
              <w:rPr>
                <w:b/>
                <w:bCs/>
                <w:kern w:val="0"/>
                <w:lang w:val="en-GB"/>
              </w:rPr>
              <w:t>£</w:t>
            </w:r>
          </w:p>
        </w:tc>
        <w:tc>
          <w:tcPr>
            <w:tcW w:w="1794" w:type="dxa"/>
            <w:tcBorders/>
          </w:tcPr>
          <w:p>
            <w:pPr>
              <w:pStyle w:val="Normal"/>
              <w:widowControl/>
              <w:suppressAutoHyphens w:val="true"/>
              <w:spacing w:before="0" w:after="113"/>
              <w:jc w:val="end"/>
              <w:rPr>
                <w:lang w:val="en-GB"/>
              </w:rPr>
            </w:pPr>
            <w:r>
              <w:rPr>
                <w:b/>
                <w:bCs/>
                <w:kern w:val="0"/>
                <w:lang w:val="en-GB"/>
              </w:rPr>
              <w:t>£</w:t>
            </w:r>
          </w:p>
        </w:tc>
      </w:tr>
      <w:tr>
        <w:trPr>
          <w:trHeight w:val="276" w:hRule="atLeast"/>
        </w:trPr>
        <w:tc>
          <w:tcPr>
            <w:tcW w:w="2940" w:type="dxa"/>
            <w:tcBorders/>
          </w:tcPr>
          <w:p>
            <w:pPr>
              <w:pStyle w:val="Normal"/>
              <w:widowControl/>
              <w:suppressAutoHyphens w:val="true"/>
              <w:spacing w:before="0" w:after="113"/>
              <w:jc w:val="start"/>
              <w:rPr>
                <w:lang w:val="en-GB"/>
              </w:rPr>
            </w:pPr>
            <w:r>
              <w:rPr>
                <w:kern w:val="0"/>
                <w:lang w:val="en-GB"/>
              </w:rPr>
              <w:t xml:space="preserve">Balances at 1 January </w:t>
            </w:r>
            <w:r>
              <w:rPr>
                <w:kern w:val="0"/>
                <w:lang w:val="en-GB"/>
              </w:rPr>
              <w:t>YYYY</w:t>
            </w:r>
          </w:p>
        </w:tc>
        <w:tc>
          <w:tcPr>
            <w:tcW w:w="1410" w:type="dxa"/>
            <w:tcBorders/>
          </w:tcPr>
          <w:p>
            <w:pPr>
              <w:pStyle w:val="Normal"/>
              <w:widowControl/>
              <w:suppressAutoHyphens w:val="true"/>
              <w:spacing w:before="0" w:after="113"/>
              <w:jc w:val="end"/>
              <w:rPr>
                <w:lang w:val="en-GB"/>
              </w:rPr>
            </w:pPr>
            <w:r>
              <w:rPr>
                <w:lang w:val="en-GB"/>
              </w:rPr>
            </w:r>
          </w:p>
        </w:tc>
        <w:tc>
          <w:tcPr>
            <w:tcW w:w="1786" w:type="dxa"/>
            <w:tcBorders/>
          </w:tcPr>
          <w:p>
            <w:pPr>
              <w:pStyle w:val="Normal"/>
              <w:widowControl/>
              <w:suppressAutoHyphens w:val="true"/>
              <w:spacing w:before="0" w:after="113"/>
              <w:jc w:val="end"/>
              <w:rPr>
                <w:lang w:val="en-GB"/>
              </w:rPr>
            </w:pPr>
            <w:r>
              <w:rPr>
                <w:lang w:val="en-GB"/>
              </w:rPr>
            </w:r>
          </w:p>
        </w:tc>
        <w:tc>
          <w:tcPr>
            <w:tcW w:w="1221" w:type="dxa"/>
            <w:tcBorders/>
          </w:tcPr>
          <w:p>
            <w:pPr>
              <w:pStyle w:val="Normal"/>
              <w:widowControl/>
              <w:suppressAutoHyphens w:val="true"/>
              <w:spacing w:before="0" w:after="113"/>
              <w:jc w:val="end"/>
              <w:rPr>
                <w:lang w:val="en-GB"/>
              </w:rPr>
            </w:pPr>
            <w:r>
              <w:rPr>
                <w:lang w:val="en-GB"/>
              </w:rPr>
            </w:r>
          </w:p>
        </w:tc>
        <w:tc>
          <w:tcPr>
            <w:tcW w:w="1604" w:type="dxa"/>
            <w:tcBorders/>
          </w:tcPr>
          <w:p>
            <w:pPr>
              <w:pStyle w:val="Normal"/>
              <w:widowControl/>
              <w:suppressAutoHyphens w:val="true"/>
              <w:spacing w:before="0" w:after="113"/>
              <w:jc w:val="end"/>
              <w:rPr>
                <w:lang w:val="en-GB"/>
              </w:rPr>
            </w:pPr>
            <w:r>
              <w:rPr>
                <w:lang w:val="en-GB"/>
              </w:rPr>
            </w:r>
          </w:p>
        </w:tc>
        <w:tc>
          <w:tcPr>
            <w:tcW w:w="1794" w:type="dxa"/>
            <w:tcBorders/>
          </w:tcPr>
          <w:p>
            <w:pPr>
              <w:pStyle w:val="Normal"/>
              <w:widowControl/>
              <w:suppressAutoHyphens w:val="true"/>
              <w:spacing w:before="0" w:after="113"/>
              <w:jc w:val="end"/>
              <w:rPr>
                <w:lang w:val="en-GB"/>
              </w:rPr>
            </w:pPr>
            <w:r>
              <w:rPr>
                <w:lang w:val="en-GB"/>
              </w:rPr>
            </w:r>
          </w:p>
        </w:tc>
      </w:tr>
      <w:tr>
        <w:trPr>
          <w:trHeight w:val="288" w:hRule="atLeast"/>
        </w:trPr>
        <w:tc>
          <w:tcPr>
            <w:tcW w:w="2940" w:type="dxa"/>
            <w:tcBorders/>
          </w:tcPr>
          <w:p>
            <w:pPr>
              <w:pStyle w:val="Normal"/>
              <w:widowControl/>
              <w:suppressAutoHyphens w:val="true"/>
              <w:spacing w:before="0" w:after="113"/>
              <w:jc w:val="start"/>
              <w:rPr>
                <w:lang w:val="en-GB"/>
              </w:rPr>
            </w:pPr>
            <w:r>
              <w:rPr>
                <w:kern w:val="0"/>
                <w:lang w:val="en-GB"/>
              </w:rPr>
              <w:t xml:space="preserve">Net income/(expenditure) </w:t>
            </w:r>
          </w:p>
        </w:tc>
        <w:tc>
          <w:tcPr>
            <w:tcW w:w="1410" w:type="dxa"/>
            <w:tcBorders/>
          </w:tcPr>
          <w:p>
            <w:pPr>
              <w:pStyle w:val="Normal"/>
              <w:widowControl/>
              <w:suppressAutoHyphens w:val="true"/>
              <w:spacing w:before="0" w:after="113"/>
              <w:jc w:val="end"/>
              <w:rPr>
                <w:lang w:val="en-GB"/>
              </w:rPr>
            </w:pPr>
            <w:r>
              <w:rPr>
                <w:lang w:val="en-GB"/>
              </w:rPr>
            </w:r>
          </w:p>
        </w:tc>
        <w:tc>
          <w:tcPr>
            <w:tcW w:w="1786" w:type="dxa"/>
            <w:tcBorders/>
          </w:tcPr>
          <w:p>
            <w:pPr>
              <w:pStyle w:val="Normal"/>
              <w:widowControl/>
              <w:suppressAutoHyphens w:val="true"/>
              <w:spacing w:before="0" w:after="113"/>
              <w:jc w:val="end"/>
              <w:rPr>
                <w:lang w:val="en-GB"/>
              </w:rPr>
            </w:pPr>
            <w:r>
              <w:rPr>
                <w:lang w:val="en-GB"/>
              </w:rPr>
            </w:r>
          </w:p>
        </w:tc>
        <w:tc>
          <w:tcPr>
            <w:tcW w:w="1221" w:type="dxa"/>
            <w:tcBorders/>
          </w:tcPr>
          <w:p>
            <w:pPr>
              <w:pStyle w:val="Normal"/>
              <w:widowControl/>
              <w:suppressAutoHyphens w:val="true"/>
              <w:spacing w:before="0" w:after="113"/>
              <w:jc w:val="end"/>
              <w:rPr>
                <w:lang w:val="en-GB"/>
              </w:rPr>
            </w:pPr>
            <w:r>
              <w:rPr>
                <w:lang w:val="en-GB"/>
              </w:rPr>
            </w:r>
          </w:p>
        </w:tc>
        <w:tc>
          <w:tcPr>
            <w:tcW w:w="1604" w:type="dxa"/>
            <w:tcBorders/>
          </w:tcPr>
          <w:p>
            <w:pPr>
              <w:pStyle w:val="Normal"/>
              <w:widowControl/>
              <w:suppressAutoHyphens w:val="true"/>
              <w:spacing w:before="0" w:after="113"/>
              <w:jc w:val="end"/>
              <w:rPr>
                <w:lang w:val="en-GB"/>
              </w:rPr>
            </w:pPr>
            <w:r>
              <w:rPr>
                <w:lang w:val="en-GB"/>
              </w:rPr>
            </w:r>
          </w:p>
        </w:tc>
        <w:tc>
          <w:tcPr>
            <w:tcW w:w="1794" w:type="dxa"/>
            <w:tcBorders/>
          </w:tcPr>
          <w:p>
            <w:pPr>
              <w:pStyle w:val="Normal"/>
              <w:widowControl/>
              <w:suppressAutoHyphens w:val="true"/>
              <w:spacing w:before="0" w:after="113"/>
              <w:jc w:val="end"/>
              <w:rPr>
                <w:lang w:val="en-GB"/>
              </w:rPr>
            </w:pPr>
            <w:r>
              <w:rPr>
                <w:lang w:val="en-GB"/>
              </w:rPr>
            </w:r>
          </w:p>
        </w:tc>
      </w:tr>
      <w:tr>
        <w:trPr>
          <w:trHeight w:val="288" w:hRule="atLeast"/>
        </w:trPr>
        <w:tc>
          <w:tcPr>
            <w:tcW w:w="2940" w:type="dxa"/>
            <w:tcBorders/>
          </w:tcPr>
          <w:p>
            <w:pPr>
              <w:pStyle w:val="Normal"/>
              <w:widowControl/>
              <w:suppressAutoHyphens w:val="true"/>
              <w:spacing w:before="0" w:after="113"/>
              <w:jc w:val="start"/>
              <w:rPr>
                <w:lang w:val="en-GB"/>
              </w:rPr>
            </w:pPr>
            <w:r>
              <w:rPr>
                <w:kern w:val="0"/>
                <w:lang w:val="en-GB"/>
              </w:rPr>
              <w:t>Transfers between funds</w:t>
            </w:r>
          </w:p>
        </w:tc>
        <w:tc>
          <w:tcPr>
            <w:tcW w:w="1410" w:type="dxa"/>
            <w:tcBorders/>
          </w:tcPr>
          <w:p>
            <w:pPr>
              <w:pStyle w:val="Normal"/>
              <w:widowControl/>
              <w:suppressAutoHyphens w:val="true"/>
              <w:spacing w:before="0" w:after="113"/>
              <w:jc w:val="end"/>
              <w:rPr>
                <w:lang w:val="en-GB"/>
              </w:rPr>
            </w:pPr>
            <w:r>
              <w:rPr>
                <w:lang w:val="en-GB"/>
              </w:rPr>
            </w:r>
          </w:p>
        </w:tc>
        <w:tc>
          <w:tcPr>
            <w:tcW w:w="1786" w:type="dxa"/>
            <w:tcBorders/>
          </w:tcPr>
          <w:p>
            <w:pPr>
              <w:pStyle w:val="Normal"/>
              <w:widowControl/>
              <w:suppressAutoHyphens w:val="true"/>
              <w:spacing w:before="0" w:after="113"/>
              <w:jc w:val="end"/>
              <w:rPr>
                <w:lang w:val="en-GB"/>
              </w:rPr>
            </w:pPr>
            <w:r>
              <w:rPr>
                <w:lang w:val="en-GB"/>
              </w:rPr>
            </w:r>
          </w:p>
        </w:tc>
        <w:tc>
          <w:tcPr>
            <w:tcW w:w="1221" w:type="dxa"/>
            <w:tcBorders/>
          </w:tcPr>
          <w:p>
            <w:pPr>
              <w:pStyle w:val="Normal"/>
              <w:widowControl/>
              <w:suppressAutoHyphens w:val="true"/>
              <w:spacing w:before="0" w:after="113"/>
              <w:jc w:val="end"/>
              <w:rPr>
                <w:lang w:val="en-GB"/>
              </w:rPr>
            </w:pPr>
            <w:r>
              <w:rPr>
                <w:lang w:val="en-GB"/>
              </w:rPr>
            </w:r>
          </w:p>
        </w:tc>
        <w:tc>
          <w:tcPr>
            <w:tcW w:w="1604" w:type="dxa"/>
            <w:tcBorders/>
          </w:tcPr>
          <w:p>
            <w:pPr>
              <w:pStyle w:val="Normal"/>
              <w:widowControl/>
              <w:suppressAutoHyphens w:val="true"/>
              <w:spacing w:before="0" w:after="113"/>
              <w:jc w:val="end"/>
              <w:rPr>
                <w:lang w:val="en-GB"/>
              </w:rPr>
            </w:pPr>
            <w:r>
              <w:rPr>
                <w:lang w:val="en-GB"/>
              </w:rPr>
            </w:r>
          </w:p>
        </w:tc>
        <w:tc>
          <w:tcPr>
            <w:tcW w:w="1794" w:type="dxa"/>
            <w:tcBorders/>
          </w:tcPr>
          <w:p>
            <w:pPr>
              <w:pStyle w:val="Normal"/>
              <w:widowControl/>
              <w:suppressAutoHyphens w:val="true"/>
              <w:spacing w:before="0" w:after="113"/>
              <w:jc w:val="end"/>
              <w:rPr>
                <w:lang w:val="en-GB"/>
              </w:rPr>
            </w:pPr>
            <w:r>
              <w:rPr>
                <w:lang w:val="en-GB"/>
              </w:rPr>
            </w:r>
          </w:p>
        </w:tc>
      </w:tr>
      <w:tr>
        <w:trPr>
          <w:trHeight w:val="276" w:hRule="atLeast"/>
        </w:trPr>
        <w:tc>
          <w:tcPr>
            <w:tcW w:w="2940" w:type="dxa"/>
            <w:tcBorders/>
          </w:tcPr>
          <w:p>
            <w:pPr>
              <w:pStyle w:val="Normal"/>
              <w:widowControl/>
              <w:suppressAutoHyphens w:val="true"/>
              <w:spacing w:before="0" w:after="113"/>
              <w:jc w:val="start"/>
              <w:rPr>
                <w:lang w:val="en-GB"/>
              </w:rPr>
            </w:pPr>
            <w:r>
              <w:rPr>
                <w:kern w:val="0"/>
                <w:lang w:val="en-GB"/>
              </w:rPr>
              <w:t>Gains/(losses) on sale of investments</w:t>
            </w:r>
          </w:p>
        </w:tc>
        <w:tc>
          <w:tcPr>
            <w:tcW w:w="1410" w:type="dxa"/>
            <w:tcBorders/>
          </w:tcPr>
          <w:p>
            <w:pPr>
              <w:pStyle w:val="Normal"/>
              <w:widowControl/>
              <w:suppressAutoHyphens w:val="true"/>
              <w:spacing w:before="0" w:after="113"/>
              <w:jc w:val="end"/>
              <w:rPr>
                <w:lang w:val="en-GB"/>
              </w:rPr>
            </w:pPr>
            <w:r>
              <w:rPr>
                <w:lang w:val="en-GB"/>
              </w:rPr>
            </w:r>
          </w:p>
        </w:tc>
        <w:tc>
          <w:tcPr>
            <w:tcW w:w="1786" w:type="dxa"/>
            <w:tcBorders/>
          </w:tcPr>
          <w:p>
            <w:pPr>
              <w:pStyle w:val="Normal"/>
              <w:widowControl/>
              <w:suppressAutoHyphens w:val="true"/>
              <w:spacing w:before="0" w:after="113"/>
              <w:jc w:val="end"/>
              <w:rPr>
                <w:lang w:val="en-GB"/>
              </w:rPr>
            </w:pPr>
            <w:r>
              <w:rPr>
                <w:lang w:val="en-GB"/>
              </w:rPr>
            </w:r>
          </w:p>
        </w:tc>
        <w:tc>
          <w:tcPr>
            <w:tcW w:w="1221" w:type="dxa"/>
            <w:tcBorders/>
          </w:tcPr>
          <w:p>
            <w:pPr>
              <w:pStyle w:val="Normal"/>
              <w:widowControl/>
              <w:suppressAutoHyphens w:val="true"/>
              <w:spacing w:before="0" w:after="113"/>
              <w:jc w:val="end"/>
              <w:rPr>
                <w:lang w:val="en-GB"/>
              </w:rPr>
            </w:pPr>
            <w:r>
              <w:rPr>
                <w:lang w:val="en-GB"/>
              </w:rPr>
            </w:r>
          </w:p>
        </w:tc>
        <w:tc>
          <w:tcPr>
            <w:tcW w:w="1604" w:type="dxa"/>
            <w:tcBorders/>
          </w:tcPr>
          <w:p>
            <w:pPr>
              <w:pStyle w:val="Normal"/>
              <w:widowControl/>
              <w:suppressAutoHyphens w:val="true"/>
              <w:spacing w:before="0" w:after="113"/>
              <w:jc w:val="end"/>
              <w:rPr>
                <w:lang w:val="en-GB"/>
              </w:rPr>
            </w:pPr>
            <w:r>
              <w:rPr>
                <w:lang w:val="en-GB"/>
              </w:rPr>
            </w:r>
          </w:p>
        </w:tc>
        <w:tc>
          <w:tcPr>
            <w:tcW w:w="1794" w:type="dxa"/>
            <w:tcBorders/>
          </w:tcPr>
          <w:p>
            <w:pPr>
              <w:pStyle w:val="Normal"/>
              <w:widowControl/>
              <w:suppressAutoHyphens w:val="true"/>
              <w:spacing w:before="0" w:after="113"/>
              <w:jc w:val="end"/>
              <w:rPr>
                <w:lang w:val="en-GB"/>
              </w:rPr>
            </w:pPr>
            <w:r>
              <w:rPr>
                <w:lang w:val="en-GB"/>
              </w:rPr>
            </w:r>
          </w:p>
        </w:tc>
      </w:tr>
      <w:tr>
        <w:trPr>
          <w:trHeight w:val="552" w:hRule="atLeast"/>
        </w:trPr>
        <w:tc>
          <w:tcPr>
            <w:tcW w:w="2940" w:type="dxa"/>
            <w:tcBorders/>
          </w:tcPr>
          <w:p>
            <w:pPr>
              <w:pStyle w:val="Normal"/>
              <w:widowControl/>
              <w:suppressAutoHyphens w:val="true"/>
              <w:spacing w:before="0" w:after="113"/>
              <w:jc w:val="start"/>
              <w:rPr>
                <w:lang w:val="en-GB"/>
              </w:rPr>
            </w:pPr>
            <w:r>
              <w:rPr>
                <w:kern w:val="0"/>
                <w:lang w:val="en-GB"/>
              </w:rPr>
              <w:t>Increase/(decrease) in value of investments</w:t>
            </w:r>
          </w:p>
        </w:tc>
        <w:tc>
          <w:tcPr>
            <w:tcW w:w="1410" w:type="dxa"/>
            <w:tcBorders/>
          </w:tcPr>
          <w:p>
            <w:pPr>
              <w:pStyle w:val="Normal"/>
              <w:widowControl/>
              <w:suppressAutoHyphens w:val="true"/>
              <w:spacing w:before="0" w:after="113"/>
              <w:jc w:val="end"/>
              <w:rPr>
                <w:lang w:val="en-GB"/>
              </w:rPr>
            </w:pPr>
            <w:r>
              <w:rPr>
                <w:lang w:val="en-GB"/>
              </w:rPr>
            </w:r>
          </w:p>
        </w:tc>
        <w:tc>
          <w:tcPr>
            <w:tcW w:w="1786" w:type="dxa"/>
            <w:tcBorders/>
          </w:tcPr>
          <w:p>
            <w:pPr>
              <w:pStyle w:val="Normal"/>
              <w:widowControl/>
              <w:suppressAutoHyphens w:val="true"/>
              <w:spacing w:before="0" w:after="113"/>
              <w:jc w:val="end"/>
              <w:rPr>
                <w:lang w:val="en-GB"/>
              </w:rPr>
            </w:pPr>
            <w:r>
              <w:rPr>
                <w:lang w:val="en-GB"/>
              </w:rPr>
            </w:r>
          </w:p>
        </w:tc>
        <w:tc>
          <w:tcPr>
            <w:tcW w:w="1221" w:type="dxa"/>
            <w:tcBorders/>
          </w:tcPr>
          <w:p>
            <w:pPr>
              <w:pStyle w:val="Normal"/>
              <w:widowControl/>
              <w:suppressAutoHyphens w:val="true"/>
              <w:spacing w:before="0" w:after="113"/>
              <w:jc w:val="end"/>
              <w:rPr>
                <w:lang w:val="en-GB"/>
              </w:rPr>
            </w:pPr>
            <w:r>
              <w:rPr>
                <w:lang w:val="en-GB"/>
              </w:rPr>
            </w:r>
          </w:p>
        </w:tc>
        <w:tc>
          <w:tcPr>
            <w:tcW w:w="1604" w:type="dxa"/>
            <w:tcBorders/>
          </w:tcPr>
          <w:p>
            <w:pPr>
              <w:pStyle w:val="Normal"/>
              <w:widowControl/>
              <w:suppressAutoHyphens w:val="true"/>
              <w:spacing w:before="0" w:after="113"/>
              <w:jc w:val="end"/>
              <w:rPr>
                <w:lang w:val="en-GB"/>
              </w:rPr>
            </w:pPr>
            <w:r>
              <w:rPr>
                <w:lang w:val="en-GB"/>
              </w:rPr>
            </w:r>
          </w:p>
        </w:tc>
        <w:tc>
          <w:tcPr>
            <w:tcW w:w="1794" w:type="dxa"/>
            <w:tcBorders/>
          </w:tcPr>
          <w:p>
            <w:pPr>
              <w:pStyle w:val="Normal"/>
              <w:widowControl/>
              <w:suppressAutoHyphens w:val="true"/>
              <w:spacing w:before="0" w:after="113"/>
              <w:jc w:val="end"/>
              <w:rPr>
                <w:lang w:val="en-GB"/>
              </w:rPr>
            </w:pPr>
            <w:r>
              <w:rPr>
                <w:lang w:val="en-GB"/>
              </w:rPr>
            </w:r>
          </w:p>
        </w:tc>
      </w:tr>
      <w:tr>
        <w:trPr>
          <w:trHeight w:val="288" w:hRule="atLeast"/>
        </w:trPr>
        <w:tc>
          <w:tcPr>
            <w:tcW w:w="2940" w:type="dxa"/>
            <w:tcBorders/>
          </w:tcPr>
          <w:p>
            <w:pPr>
              <w:pStyle w:val="Normal"/>
              <w:widowControl/>
              <w:suppressAutoHyphens w:val="true"/>
              <w:spacing w:before="0" w:after="113"/>
              <w:jc w:val="start"/>
              <w:rPr>
                <w:sz w:val="22"/>
                <w:szCs w:val="22"/>
                <w:lang w:val="en-GB"/>
              </w:rPr>
            </w:pPr>
            <w:r>
              <w:rPr>
                <w:kern w:val="0"/>
                <w:sz w:val="22"/>
                <w:szCs w:val="22"/>
                <w:lang w:val="en-GB"/>
              </w:rPr>
              <w:t xml:space="preserve">Balances at 31 December </w:t>
            </w:r>
            <w:r>
              <w:rPr>
                <w:kern w:val="0"/>
                <w:sz w:val="22"/>
                <w:szCs w:val="22"/>
                <w:lang w:val="en-GB"/>
              </w:rPr>
              <w:t>YYYY</w:t>
            </w:r>
          </w:p>
        </w:tc>
        <w:tc>
          <w:tcPr>
            <w:tcW w:w="1410" w:type="dxa"/>
            <w:tcBorders/>
          </w:tcPr>
          <w:p>
            <w:pPr>
              <w:pStyle w:val="Normal"/>
              <w:widowControl/>
              <w:suppressAutoHyphens w:val="true"/>
              <w:spacing w:before="0" w:after="113"/>
              <w:jc w:val="end"/>
              <w:rPr>
                <w:lang w:val="en-GB"/>
              </w:rPr>
            </w:pPr>
            <w:r>
              <w:rPr>
                <w:lang w:val="en-GB"/>
              </w:rPr>
            </w:r>
          </w:p>
        </w:tc>
        <w:tc>
          <w:tcPr>
            <w:tcW w:w="1786" w:type="dxa"/>
            <w:tcBorders/>
          </w:tcPr>
          <w:p>
            <w:pPr>
              <w:pStyle w:val="Normal"/>
              <w:widowControl/>
              <w:suppressAutoHyphens w:val="true"/>
              <w:spacing w:before="0" w:after="113"/>
              <w:jc w:val="end"/>
              <w:rPr>
                <w:lang w:val="en-GB"/>
              </w:rPr>
            </w:pPr>
            <w:r>
              <w:rPr>
                <w:lang w:val="en-GB"/>
              </w:rPr>
            </w:r>
          </w:p>
        </w:tc>
        <w:tc>
          <w:tcPr>
            <w:tcW w:w="1221" w:type="dxa"/>
            <w:tcBorders/>
          </w:tcPr>
          <w:p>
            <w:pPr>
              <w:pStyle w:val="Normal"/>
              <w:widowControl/>
              <w:suppressAutoHyphens w:val="true"/>
              <w:spacing w:before="0" w:after="113"/>
              <w:jc w:val="end"/>
              <w:rPr>
                <w:lang w:val="en-GB"/>
              </w:rPr>
            </w:pPr>
            <w:r>
              <w:rPr>
                <w:lang w:val="en-GB"/>
              </w:rPr>
            </w:r>
          </w:p>
        </w:tc>
        <w:tc>
          <w:tcPr>
            <w:tcW w:w="1604" w:type="dxa"/>
            <w:tcBorders/>
          </w:tcPr>
          <w:p>
            <w:pPr>
              <w:pStyle w:val="Normal"/>
              <w:widowControl/>
              <w:suppressAutoHyphens w:val="true"/>
              <w:spacing w:before="0" w:after="113"/>
              <w:jc w:val="end"/>
              <w:rPr>
                <w:lang w:val="en-GB"/>
              </w:rPr>
            </w:pPr>
            <w:r>
              <w:rPr>
                <w:lang w:val="en-GB"/>
              </w:rPr>
            </w:r>
          </w:p>
        </w:tc>
        <w:tc>
          <w:tcPr>
            <w:tcW w:w="1794" w:type="dxa"/>
            <w:tcBorders/>
          </w:tcPr>
          <w:p>
            <w:pPr>
              <w:pStyle w:val="Normal"/>
              <w:widowControl/>
              <w:suppressAutoHyphens w:val="true"/>
              <w:spacing w:before="0" w:after="113"/>
              <w:jc w:val="end"/>
              <w:rPr>
                <w:lang w:val="en-GB"/>
              </w:rPr>
            </w:pPr>
            <w:r>
              <w:rPr>
                <w:lang w:val="en-GB"/>
              </w:rPr>
            </w:r>
          </w:p>
        </w:tc>
      </w:tr>
      <w:tr>
        <w:trPr>
          <w:trHeight w:val="576" w:hRule="atLeast"/>
        </w:trPr>
        <w:tc>
          <w:tcPr>
            <w:tcW w:w="10755" w:type="dxa"/>
            <w:gridSpan w:val="6"/>
            <w:tcBorders/>
          </w:tcPr>
          <w:p>
            <w:pPr>
              <w:pStyle w:val="Normal"/>
              <w:widowControl/>
              <w:suppressAutoHyphens w:val="true"/>
              <w:spacing w:before="0" w:after="113"/>
              <w:jc w:val="start"/>
              <w:rPr>
                <w:lang w:val="en-GB"/>
              </w:rPr>
            </w:pPr>
            <w:r>
              <w:rPr>
                <w:kern w:val="0"/>
                <w:lang w:val="en-GB"/>
              </w:rPr>
              <w:t>The overall result is a net increase in funds of £</w:t>
            </w:r>
            <w:r>
              <w:rPr>
                <w:kern w:val="0"/>
                <w:lang w:val="en-GB"/>
              </w:rPr>
              <w:t>NN,NNN</w:t>
            </w:r>
            <w:r>
              <w:rPr>
                <w:kern w:val="0"/>
                <w:lang w:val="en-GB"/>
              </w:rPr>
              <w:t xml:space="preserve"> consisting of an excess of income over expenditure of £</w:t>
            </w:r>
            <w:r>
              <w:rPr>
                <w:kern w:val="0"/>
                <w:lang w:val="en-GB"/>
              </w:rPr>
              <w:t>MM</w:t>
            </w:r>
            <w:r>
              <w:rPr>
                <w:kern w:val="0"/>
                <w:lang w:val="en-GB"/>
              </w:rPr>
              <w:t>,</w:t>
            </w:r>
            <w:r>
              <w:rPr>
                <w:kern w:val="0"/>
                <w:lang w:val="en-GB"/>
              </w:rPr>
              <w:t xml:space="preserve">MMM </w:t>
            </w:r>
            <w:r>
              <w:rPr>
                <w:kern w:val="0"/>
                <w:lang w:val="en-GB"/>
              </w:rPr>
              <w:t>and realised and unrealised gains on investment assets of £</w:t>
            </w:r>
            <w:r>
              <w:rPr>
                <w:kern w:val="0"/>
                <w:lang w:val="en-GB"/>
              </w:rPr>
              <w:t>XX</w:t>
            </w:r>
            <w:r>
              <w:rPr>
                <w:kern w:val="0"/>
                <w:lang w:val="en-GB"/>
              </w:rPr>
              <w:t>,</w:t>
            </w:r>
            <w:r>
              <w:rPr>
                <w:kern w:val="0"/>
                <w:lang w:val="en-GB"/>
              </w:rPr>
              <w:t>XXX</w:t>
            </w:r>
            <w:r>
              <w:rPr>
                <w:kern w:val="0"/>
                <w:lang w:val="en-GB"/>
              </w:rPr>
              <w:t>.</w:t>
            </w:r>
          </w:p>
        </w:tc>
      </w:tr>
      <w:tr>
        <w:trPr>
          <w:trHeight w:val="1524" w:hRule="atLeast"/>
        </w:trPr>
        <w:tc>
          <w:tcPr>
            <w:tcW w:w="10755" w:type="dxa"/>
            <w:gridSpan w:val="6"/>
            <w:tcBorders/>
          </w:tcPr>
          <w:p>
            <w:pPr>
              <w:pStyle w:val="Normal"/>
              <w:widowControl/>
              <w:suppressAutoHyphens w:val="true"/>
              <w:spacing w:before="0" w:after="113"/>
              <w:jc w:val="start"/>
              <w:rPr>
                <w:lang w:val="en-GB"/>
              </w:rPr>
            </w:pPr>
            <w:r>
              <w:rPr>
                <w:kern w:val="0"/>
                <w:lang w:val="en-GB"/>
              </w:rPr>
              <w:t>The PCC has total control over the use of those funds which are unrestricted apart from a Special Designated General Fund, balance £</w:t>
            </w:r>
            <w:r>
              <w:rPr>
                <w:kern w:val="0"/>
                <w:lang w:val="en-GB"/>
              </w:rPr>
              <w:t>NN,NNN</w:t>
            </w:r>
            <w:r>
              <w:rPr>
                <w:kern w:val="0"/>
                <w:lang w:val="en-GB"/>
              </w:rPr>
              <w:t xml:space="preserve"> (</w:t>
            </w:r>
            <w:r>
              <w:rPr>
                <w:kern w:val="0"/>
                <w:lang w:val="en-GB"/>
              </w:rPr>
              <w:t>[LAST YEAR]</w:t>
            </w:r>
            <w:r>
              <w:rPr>
                <w:kern w:val="0"/>
                <w:lang w:val="en-GB"/>
              </w:rPr>
              <w:t>: £</w:t>
            </w:r>
            <w:r>
              <w:rPr>
                <w:kern w:val="0"/>
                <w:lang w:val="en-GB"/>
              </w:rPr>
              <w:t>MM</w:t>
            </w:r>
            <w:r>
              <w:rPr>
                <w:kern w:val="0"/>
                <w:lang w:val="en-GB"/>
              </w:rPr>
              <w:t>,</w:t>
            </w:r>
            <w:r>
              <w:rPr>
                <w:kern w:val="0"/>
                <w:lang w:val="en-GB"/>
              </w:rPr>
              <w:t>MMM</w:t>
            </w:r>
            <w:r>
              <w:rPr>
                <w:kern w:val="0"/>
                <w:lang w:val="en-GB"/>
              </w:rPr>
              <w:t>), where the greater part is the underlying investment (value £</w:t>
            </w:r>
            <w:r>
              <w:rPr>
                <w:kern w:val="0"/>
                <w:lang w:val="en-GB"/>
              </w:rPr>
              <w:t>AA</w:t>
            </w:r>
            <w:r>
              <w:rPr>
                <w:kern w:val="0"/>
                <w:lang w:val="en-GB"/>
              </w:rPr>
              <w:t>,</w:t>
            </w:r>
            <w:r>
              <w:rPr>
                <w:kern w:val="0"/>
                <w:lang w:val="en-GB"/>
              </w:rPr>
              <w:t>AAA</w:t>
            </w:r>
            <w:r>
              <w:rPr>
                <w:kern w:val="0"/>
                <w:lang w:val="en-GB"/>
              </w:rPr>
              <w:t xml:space="preserve"> (</w:t>
            </w:r>
            <w:r>
              <w:rPr>
                <w:kern w:val="0"/>
                <w:lang w:val="en-GB"/>
              </w:rPr>
              <w:t>[LAST YEAR]</w:t>
            </w:r>
            <w:r>
              <w:rPr>
                <w:kern w:val="0"/>
                <w:lang w:val="en-GB"/>
              </w:rPr>
              <w:t>: £</w:t>
            </w:r>
            <w:r>
              <w:rPr>
                <w:kern w:val="0"/>
                <w:lang w:val="en-GB"/>
              </w:rPr>
              <w:t>BB</w:t>
            </w:r>
            <w:r>
              <w:rPr>
                <w:kern w:val="0"/>
                <w:lang w:val="en-GB"/>
              </w:rPr>
              <w:t>,</w:t>
            </w:r>
            <w:r>
              <w:rPr>
                <w:kern w:val="0"/>
                <w:lang w:val="en-GB"/>
              </w:rPr>
              <w:t>BBB</w:t>
            </w:r>
            <w:r>
              <w:rPr>
                <w:kern w:val="0"/>
                <w:lang w:val="en-GB"/>
              </w:rPr>
              <w:t>)) held by the diocese in its capacity as custodian trustee whose consent is required for sale in whole or part.</w:t>
            </w:r>
          </w:p>
        </w:tc>
      </w:tr>
      <w:tr>
        <w:trPr>
          <w:trHeight w:val="1488" w:hRule="atLeast"/>
        </w:trPr>
        <w:tc>
          <w:tcPr>
            <w:tcW w:w="10755" w:type="dxa"/>
            <w:gridSpan w:val="6"/>
            <w:tcBorders/>
          </w:tcPr>
          <w:p>
            <w:pPr>
              <w:pStyle w:val="Normal"/>
              <w:widowControl/>
              <w:suppressAutoHyphens w:val="true"/>
              <w:spacing w:before="0" w:after="113"/>
              <w:jc w:val="start"/>
              <w:rPr>
                <w:lang w:val="en-GB"/>
              </w:rPr>
            </w:pPr>
            <w:r>
              <w:rPr>
                <w:kern w:val="0"/>
                <w:lang w:val="en-GB"/>
              </w:rPr>
              <w:t>The PCC's policy for freely available cash reserves for the General Fund is that they should equate with not less than 3 months of normal annual expenditure, ie. approximately £</w:t>
            </w:r>
            <w:r>
              <w:rPr>
                <w:kern w:val="0"/>
                <w:lang w:val="en-GB"/>
              </w:rPr>
              <w:t>CC</w:t>
            </w:r>
            <w:r>
              <w:rPr>
                <w:kern w:val="0"/>
                <w:lang w:val="en-GB"/>
              </w:rPr>
              <w:t>,</w:t>
            </w:r>
            <w:r>
              <w:rPr>
                <w:kern w:val="0"/>
                <w:lang w:val="en-GB"/>
              </w:rPr>
              <w:t>CCC</w:t>
            </w:r>
            <w:r>
              <w:rPr>
                <w:kern w:val="0"/>
                <w:lang w:val="en-GB"/>
              </w:rPr>
              <w:t xml:space="preserve">.  At 31 December </w:t>
            </w:r>
            <w:r>
              <w:rPr>
                <w:kern w:val="0"/>
                <w:lang w:val="en-GB"/>
              </w:rPr>
              <w:t>YYYY</w:t>
            </w:r>
            <w:r>
              <w:rPr>
                <w:kern w:val="0"/>
                <w:lang w:val="en-GB"/>
              </w:rPr>
              <w:t xml:space="preserve"> these stand at c.£</w:t>
            </w:r>
            <w:r>
              <w:rPr>
                <w:kern w:val="0"/>
                <w:lang w:val="en-GB"/>
              </w:rPr>
              <w:t>CDD,DDD</w:t>
            </w:r>
            <w:r>
              <w:rPr>
                <w:kern w:val="0"/>
                <w:lang w:val="en-GB"/>
              </w:rPr>
              <w:t>.</w:t>
            </w:r>
          </w:p>
        </w:tc>
      </w:tr>
      <w:tr>
        <w:trPr>
          <w:trHeight w:val="324" w:hRule="atLeast"/>
        </w:trPr>
        <w:tc>
          <w:tcPr>
            <w:tcW w:w="10755" w:type="dxa"/>
            <w:gridSpan w:val="6"/>
            <w:tcBorders/>
          </w:tcPr>
          <w:p>
            <w:pPr>
              <w:pStyle w:val="Normal"/>
              <w:widowControl/>
              <w:suppressAutoHyphens w:val="true"/>
              <w:spacing w:before="0" w:after="113"/>
              <w:jc w:val="start"/>
              <w:rPr>
                <w:lang w:val="en-GB"/>
              </w:rPr>
            </w:pPr>
            <w:r>
              <w:rPr>
                <w:kern w:val="0"/>
                <w:lang w:val="en-GB"/>
              </w:rPr>
              <w:t xml:space="preserve">The PCC is grateful to the many volunteers and the local community for their support of the work of the church in the parish. </w:t>
            </w:r>
          </w:p>
        </w:tc>
      </w:tr>
    </w:tbl>
    <w:p>
      <w:pPr>
        <w:pStyle w:val="Normal"/>
        <w:rPr>
          <w:lang w:val="en-GB"/>
        </w:rPr>
      </w:pPr>
      <w:r>
        <w:rPr>
          <w:lang w:val="en-GB"/>
        </w:rPr>
      </w:r>
    </w:p>
    <w:p>
      <w:pPr>
        <w:pStyle w:val="Heading1"/>
        <w:rPr>
          <w:lang w:val="en-GB"/>
        </w:rPr>
      </w:pPr>
      <w:r>
        <w:rPr>
          <w:lang w:val="en-GB"/>
        </w:rPr>
      </w:r>
      <w:r>
        <w:br w:type="page"/>
      </w:r>
    </w:p>
    <w:p>
      <w:pPr>
        <w:pStyle w:val="Heading1"/>
        <w:rPr>
          <w:lang w:val="en-GB"/>
        </w:rPr>
      </w:pPr>
      <w:r>
        <w:rPr>
          <w:lang w:val="en-GB"/>
        </w:rPr>
        <w:t>Statement of Responsibilities of the Members of the Parochial Church Council</w:t>
      </w:r>
    </w:p>
    <w:p>
      <w:pPr>
        <w:pStyle w:val="Normal"/>
        <w:rPr>
          <w:lang w:val="en-GB"/>
        </w:rPr>
      </w:pPr>
      <w:r>
        <w:rPr>
          <w:lang w:val="en-GB"/>
        </w:rPr>
        <w:t>The PCC is responsible for preparing the Annual Report and the financial statements in accordance with applicable law and United Kingdom Accounting Standards (United Kingdom Generally Accepted Accounting Practice).</w:t>
      </w:r>
    </w:p>
    <w:p>
      <w:pPr>
        <w:pStyle w:val="Normal"/>
        <w:rPr>
          <w:lang w:val="en-GB"/>
        </w:rPr>
      </w:pPr>
      <w:r>
        <w:rPr>
          <w:color w:val="242424"/>
          <w:shd w:fill="FFFFFF" w:val="clear"/>
          <w:lang w:val="en-GB"/>
        </w:rPr>
        <w:t>Charity law requires the PCC to prepare financial statements for each financial year which give a true and fair view of the state of the affairs of the charity as at the balance sheet date and of its incoming resources and application of resources for the financial year.  In preparing these financial statements, the PCC are required to:</w:t>
      </w:r>
    </w:p>
    <w:p>
      <w:pPr>
        <w:pStyle w:val="ListParagraph"/>
        <w:keepLines/>
        <w:numPr>
          <w:ilvl w:val="0"/>
          <w:numId w:val="3"/>
        </w:numPr>
        <w:suppressAutoHyphens w:val="false"/>
        <w:spacing w:before="0" w:after="0"/>
        <w:contextualSpacing/>
        <w:jc w:val="both"/>
        <w:rPr>
          <w:lang w:val="en-GB"/>
        </w:rPr>
      </w:pPr>
      <w:r>
        <w:rPr>
          <w:lang w:val="en-GB"/>
        </w:rPr>
        <w:t>select suitable accounting policies and apply them consistently;</w:t>
      </w:r>
    </w:p>
    <w:p>
      <w:pPr>
        <w:pStyle w:val="ListParagraph"/>
        <w:keepLines/>
        <w:numPr>
          <w:ilvl w:val="0"/>
          <w:numId w:val="3"/>
        </w:numPr>
        <w:suppressAutoHyphens w:val="false"/>
        <w:spacing w:before="0" w:after="0"/>
        <w:contextualSpacing/>
        <w:jc w:val="both"/>
        <w:rPr>
          <w:lang w:val="en-GB"/>
        </w:rPr>
      </w:pPr>
      <w:r>
        <w:rPr>
          <w:lang w:val="en-GB"/>
        </w:rPr>
        <w:t>observe the methods and principles in the Charities SORP;</w:t>
      </w:r>
    </w:p>
    <w:p>
      <w:pPr>
        <w:pStyle w:val="ListParagraph"/>
        <w:keepLines/>
        <w:numPr>
          <w:ilvl w:val="0"/>
          <w:numId w:val="3"/>
        </w:numPr>
        <w:suppressAutoHyphens w:val="false"/>
        <w:spacing w:before="0" w:after="0"/>
        <w:contextualSpacing/>
        <w:jc w:val="both"/>
        <w:rPr>
          <w:lang w:val="en-GB"/>
        </w:rPr>
      </w:pPr>
      <w:r>
        <w:rPr>
          <w:lang w:val="en-GB"/>
        </w:rPr>
        <w:t>make judgments and estimates that are reasonable and prudent;</w:t>
      </w:r>
    </w:p>
    <w:p>
      <w:pPr>
        <w:pStyle w:val="ListParagraph"/>
        <w:keepLines/>
        <w:numPr>
          <w:ilvl w:val="0"/>
          <w:numId w:val="3"/>
        </w:numPr>
        <w:suppressAutoHyphens w:val="false"/>
        <w:spacing w:before="0" w:after="0"/>
        <w:contextualSpacing/>
        <w:jc w:val="both"/>
        <w:rPr>
          <w:lang w:val="en-GB"/>
        </w:rPr>
      </w:pPr>
      <w:r>
        <w:rPr>
          <w:lang w:val="en-GB"/>
        </w:rPr>
        <w:t>state whether the applicable accounting standards have been followed, subject to any material departures disclosed and explained in the financial statements; and</w:t>
      </w:r>
    </w:p>
    <w:p>
      <w:pPr>
        <w:pStyle w:val="ListParagraph"/>
        <w:keepLines/>
        <w:numPr>
          <w:ilvl w:val="0"/>
          <w:numId w:val="3"/>
        </w:numPr>
        <w:suppressAutoHyphens w:val="false"/>
        <w:spacing w:before="0" w:after="0"/>
        <w:contextualSpacing/>
        <w:jc w:val="both"/>
        <w:rPr>
          <w:lang w:val="en-GB"/>
        </w:rPr>
      </w:pPr>
      <w:r>
        <w:rPr>
          <w:lang w:val="en-GB"/>
        </w:rPr>
        <w:t>prepare the financial statements on a going concern basis unless it is inappropriate to presume that the charity will continue in operation.</w:t>
      </w:r>
    </w:p>
    <w:p>
      <w:pPr>
        <w:pStyle w:val="Normal"/>
        <w:keepLines/>
        <w:ind w:hanging="0" w:start="585"/>
        <w:jc w:val="both"/>
        <w:rPr>
          <w:lang w:val="en-GB"/>
        </w:rPr>
      </w:pPr>
      <w:r>
        <w:rPr>
          <w:lang w:val="en-GB"/>
        </w:rPr>
      </w:r>
    </w:p>
    <w:p>
      <w:pPr>
        <w:pStyle w:val="Normal"/>
        <w:keepLines/>
        <w:ind w:hanging="18" w:start="18"/>
        <w:jc w:val="start"/>
        <w:rPr>
          <w:lang w:val="en-GB"/>
        </w:rPr>
      </w:pPr>
      <w:r>
        <w:rPr>
          <w:lang w:val="en-GB"/>
        </w:rPr>
        <w:t>The PCC is responsible for keeping proper accounting records that disclose with reasonable accuracy at any time the financial position of the charity and enable them to ensure that the financial statements comply with the Charities Act 2011 and the Charity (Accounts and Reports) Regulations 2008.  They are also responsible for safeguarding the assets of the charity and hence for taking reasonable steps for the prevention and detection of fraud and other irregularities.</w:t>
      </w:r>
    </w:p>
    <w:p>
      <w:pPr>
        <w:pStyle w:val="Normal"/>
        <w:rPr>
          <w:lang w:val="en-GB"/>
        </w:rPr>
      </w:pPr>
      <w:r>
        <w:rPr>
          <w:lang w:val="en-GB"/>
        </w:rPr>
      </w:r>
    </w:p>
    <w:p>
      <w:pPr>
        <w:pStyle w:val="Normal"/>
        <w:rPr>
          <w:lang w:val="en-GB"/>
        </w:rPr>
      </w:pPr>
      <w:r>
        <w:rPr>
          <w:lang w:val="en-GB"/>
        </w:rPr>
        <w:t xml:space="preserve">Approved by the PCC on </w:t>
      </w:r>
      <w:r>
        <w:rPr>
          <w:i/>
          <w:iCs/>
          <w:lang w:val="en-GB"/>
        </w:rPr>
        <w:t>DD</w:t>
      </w:r>
      <w:r>
        <w:rPr>
          <w:lang w:val="en-GB"/>
        </w:rPr>
        <w:t xml:space="preserve">th </w:t>
      </w:r>
      <w:r>
        <w:rPr>
          <w:i/>
          <w:iCs/>
          <w:lang w:val="en-GB"/>
        </w:rPr>
        <w:t>MMM</w:t>
      </w:r>
      <w:r>
        <w:rPr>
          <w:lang w:val="en-GB"/>
        </w:rPr>
        <w:t xml:space="preserve"> </w:t>
      </w:r>
      <w:r>
        <w:rPr>
          <w:i/>
          <w:iCs/>
          <w:lang w:val="en-GB"/>
        </w:rPr>
        <w:t>YYYY</w:t>
      </w:r>
      <w:r>
        <w:rPr>
          <w:lang w:val="en-GB"/>
        </w:rPr>
        <w:t xml:space="preserve"> and signed on their behalf by</w:t>
      </w:r>
    </w:p>
    <w:p>
      <w:pPr>
        <w:pStyle w:val="Normal"/>
        <w:rPr>
          <w:lang w:val="en-GB"/>
        </w:rPr>
      </w:pPr>
      <w:r>
        <w:rPr>
          <w:lang w:val="en-GB"/>
        </w:rPr>
      </w:r>
    </w:p>
    <w:p>
      <w:pPr>
        <w:pStyle w:val="Normal"/>
        <w:rPr>
          <w:lang w:val="en-GB"/>
        </w:rPr>
      </w:pPr>
      <w:r>
        <w:rPr>
          <w:lang w:val="en-GB"/>
        </w:rPr>
        <w:tab/>
        <w:tab/>
        <w:tab/>
        <w:tab/>
        <w:tab/>
        <w:tab/>
      </w:r>
    </w:p>
    <w:p>
      <w:pPr>
        <w:pStyle w:val="Normal"/>
        <w:rPr>
          <w:sz w:val="16"/>
          <w:szCs w:val="16"/>
          <w:lang w:val="en-GB"/>
        </w:rPr>
      </w:pPr>
      <w:r>
        <w:rPr>
          <w:sz w:val="16"/>
          <w:szCs w:val="16"/>
          <w:lang w:val="en-GB"/>
        </w:rPr>
      </w:r>
    </w:p>
    <w:p>
      <w:pPr>
        <w:pStyle w:val="Normal"/>
        <w:rPr>
          <w:lang w:val="en-GB"/>
        </w:rPr>
      </w:pPr>
      <w:r>
        <w:rPr>
          <w:lang w:val="en-GB"/>
        </w:rPr>
        <w:t xml:space="preserve">Revd </w:t>
      </w:r>
      <w:r>
        <w:rPr>
          <w:i/>
          <w:iCs/>
          <w:lang w:val="en-GB"/>
        </w:rPr>
        <w:t>NNN</w:t>
      </w:r>
      <w:r>
        <w:rPr>
          <w:i/>
          <w:iCs/>
          <w:lang w:val="en-GB"/>
        </w:rPr>
        <w:t xml:space="preserve"> </w:t>
      </w:r>
      <w:r>
        <w:rPr>
          <w:i/>
          <w:iCs/>
          <w:lang w:val="en-GB"/>
        </w:rPr>
        <w:t>MMM</w:t>
      </w:r>
      <w:r>
        <w:rPr>
          <w:lang w:val="en-GB"/>
        </w:rPr>
        <w:t xml:space="preserve"> – </w:t>
      </w:r>
      <w:r>
        <w:rPr>
          <w:i/>
          <w:iCs/>
          <w:lang w:val="en-GB"/>
        </w:rPr>
        <w:t>Vicar</w:t>
      </w:r>
      <w:r>
        <w:rPr>
          <w:lang w:val="en-GB"/>
        </w:rPr>
        <w:tab/>
        <w:tab/>
        <w:tab/>
      </w:r>
      <w:r>
        <w:rPr>
          <w:i/>
          <w:iCs/>
          <w:lang w:val="en-GB"/>
        </w:rPr>
        <w:t>AAA</w:t>
      </w:r>
      <w:r>
        <w:rPr>
          <w:i/>
          <w:iCs/>
          <w:lang w:val="en-GB"/>
        </w:rPr>
        <w:t xml:space="preserve"> </w:t>
      </w:r>
      <w:r>
        <w:rPr>
          <w:i/>
          <w:iCs/>
          <w:lang w:val="en-GB"/>
        </w:rPr>
        <w:t>BBB</w:t>
      </w:r>
      <w:r>
        <w:rPr>
          <w:i/>
          <w:iCs/>
          <w:lang w:val="en-GB"/>
        </w:rPr>
        <w:t xml:space="preserve"> – Churchwarden</w:t>
      </w:r>
      <w:r>
        <w:br w:type="page"/>
      </w:r>
    </w:p>
    <w:p>
      <w:pPr>
        <w:pStyle w:val="Heading1"/>
        <w:numPr>
          <w:ilvl w:val="0"/>
          <w:numId w:val="1"/>
        </w:numPr>
        <w:spacing w:before="0" w:after="0"/>
        <w:rPr>
          <w:lang w:val="en-GB"/>
        </w:rPr>
      </w:pPr>
      <w:r>
        <w:rPr>
          <w:lang w:val="en-GB"/>
        </w:rPr>
        <w:t xml:space="preserve">Independent Examiner’s Report to the Trustees of the Parochial Church Council of </w:t>
      </w:r>
      <w:r>
        <w:rPr>
          <w:lang w:val="en-GB"/>
        </w:rPr>
        <w:t>PARISH</w:t>
      </w:r>
    </w:p>
    <w:p>
      <w:pPr>
        <w:pStyle w:val="Normal"/>
        <w:rPr>
          <w:lang w:val="en-GB"/>
        </w:rPr>
      </w:pPr>
      <w:r>
        <w:rPr>
          <w:lang w:val="en-GB"/>
        </w:rPr>
      </w:r>
    </w:p>
    <w:p>
      <w:pPr>
        <w:pStyle w:val="Normal"/>
        <w:rPr>
          <w:lang w:val="en-GB"/>
        </w:rPr>
      </w:pPr>
      <w:r>
        <w:rPr>
          <w:lang w:val="en-GB"/>
        </w:rPr>
        <w:t>I report to the members of the PCC (who are the charity’s Trustees) on my examination of the accounts of the Charity for the year ended 31 December 2024 which are set out on pages 11 to 19 and which have been prepared on the basis of the accounting policies set out on pages 13 and 14.</w:t>
      </w:r>
    </w:p>
    <w:p>
      <w:pPr>
        <w:pStyle w:val="Heading2"/>
        <w:numPr>
          <w:ilvl w:val="1"/>
          <w:numId w:val="1"/>
        </w:numPr>
        <w:rPr>
          <w:lang w:val="en-GB"/>
        </w:rPr>
      </w:pPr>
      <w:r>
        <w:rPr>
          <w:lang w:val="en-GB"/>
        </w:rPr>
        <w:t>Respective Responsibilities of Trustees and Examiner</w:t>
      </w:r>
    </w:p>
    <w:p>
      <w:pPr>
        <w:pStyle w:val="Normal"/>
        <w:rPr>
          <w:lang w:val="en-GB"/>
        </w:rPr>
      </w:pPr>
      <w:r>
        <w:rPr>
          <w:lang w:val="en-GB"/>
        </w:rPr>
        <w:t xml:space="preserve">As members of the PCC, you are responsible for the preparation of the accounts in accordance with the requirements of the Charities Act 2011 (“the Act”).  </w:t>
      </w:r>
    </w:p>
    <w:p>
      <w:pPr>
        <w:pStyle w:val="Normal"/>
        <w:rPr>
          <w:lang w:val="en-GB"/>
        </w:rPr>
      </w:pPr>
      <w:r>
        <w:rPr>
          <w:lang w:val="en-GB"/>
        </w:rPr>
        <w:t>I report in respect of my examination of the Charity’s accounts carried out under Section 145 of the Act and in carrying out my examination I have followed all the application Directions given by the Charity Commission under Section 145(5)(b) of the Act.</w:t>
      </w:r>
    </w:p>
    <w:p>
      <w:pPr>
        <w:pStyle w:val="Heading2"/>
        <w:numPr>
          <w:ilvl w:val="1"/>
          <w:numId w:val="1"/>
        </w:numPr>
        <w:rPr>
          <w:lang w:val="en-GB"/>
        </w:rPr>
      </w:pPr>
      <w:r>
        <w:rPr>
          <w:lang w:val="en-GB"/>
        </w:rPr>
        <w:t>Independent examiner’s statement</w:t>
      </w:r>
    </w:p>
    <w:p>
      <w:pPr>
        <w:pStyle w:val="Normal"/>
        <w:rPr>
          <w:lang w:val="en-GB"/>
        </w:rPr>
      </w:pPr>
      <w:r>
        <w:rPr>
          <w:lang w:val="en-GB"/>
        </w:rPr>
        <w:t>In have completed my examination.  I confirm that no matters have come to my attention in connection with the examination giving me cause to believe:</w:t>
      </w:r>
    </w:p>
    <w:p>
      <w:pPr>
        <w:pStyle w:val="Normal"/>
        <w:ind w:hanging="283" w:start="567"/>
        <w:rPr>
          <w:lang w:val="en-GB"/>
        </w:rPr>
      </w:pPr>
      <w:r>
        <w:rPr>
          <w:lang w:val="en-GB"/>
        </w:rPr>
        <w:t>1. Accounting records were not kept in respect of the Charity as required by Section 130 of the Act; or</w:t>
      </w:r>
    </w:p>
    <w:p>
      <w:pPr>
        <w:pStyle w:val="Normal"/>
        <w:ind w:hanging="283" w:start="567"/>
        <w:rPr>
          <w:lang w:val="en-GB"/>
        </w:rPr>
      </w:pPr>
      <w:r>
        <w:rPr>
          <w:lang w:val="en-GB"/>
        </w:rPr>
        <w:t>2. The accounts do not accord with those records; or</w:t>
      </w:r>
    </w:p>
    <w:p>
      <w:pPr>
        <w:pStyle w:val="Normal"/>
        <w:ind w:hanging="283" w:start="567"/>
        <w:rPr>
          <w:lang w:val="en-GB"/>
        </w:rPr>
      </w:pPr>
      <w:r>
        <w:rPr>
          <w:lang w:val="en-GB"/>
        </w:rPr>
        <w:t>3. The accounts do not comply with the applicable requirements concerning the form and content of accounts set out in the Charities (Accounts and Reports) Regulations 2008 other than any requirement that the accounts give a ‘true and fair’ view which is not a matter considered as part of an independent examination.</w:t>
      </w:r>
    </w:p>
    <w:p>
      <w:pPr>
        <w:pStyle w:val="Normal"/>
        <w:spacing w:lineRule="auto" w:line="240" w:before="0" w:after="0"/>
        <w:rPr>
          <w:lang w:val="en-GB"/>
        </w:rPr>
      </w:pPr>
      <w:r>
        <w:rPr>
          <w:lang w:val="en-GB"/>
        </w:rPr>
        <w:t>I have no concerns and have come across no other matters in connection with the examination to which attention should be drawn in this report in order to enable a proper understanding of the accounts to be reached.</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t>DD MMM YYYY</w:t>
      </w:r>
    </w:p>
    <w:p>
      <w:pPr>
        <w:pStyle w:val="Normal"/>
        <w:ind w:hanging="0" w:start="567"/>
        <w:rPr>
          <w:lang w:val="en-GB"/>
        </w:rPr>
      </w:pPr>
      <w:r>
        <w:rPr>
          <w:lang w:val="en-GB"/>
        </w:rPr>
      </w:r>
      <w:r>
        <w:br w:type="page"/>
      </w:r>
    </w:p>
    <w:p>
      <w:pPr>
        <w:pStyle w:val="Normal"/>
        <w:spacing w:lineRule="auto" w:line="240" w:before="0" w:after="0"/>
        <w:rPr>
          <w:lang w:val="en-GB"/>
        </w:rPr>
      </w:pPr>
      <w:r>
        <w:rPr>
          <w:lang w:val="en-GB"/>
        </w:rPr>
        <w:t>INSERT FINANCE DETAILS HERE.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567" w:right="567" w:gutter="0" w:header="720" w:top="777" w:footer="709" w:bottom="96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auto"/>
    <w:pitch w:val="default"/>
  </w:font>
  <w:font w:name="Fira Sans">
    <w:charset w:val="01"/>
    <w:family w:val="auto"/>
    <w:pitch w:val="default"/>
  </w:font>
  <w:font w:name="Cambria">
    <w:charset w:val="01"/>
    <w:family w:val="auto"/>
    <w:pitch w:val="default"/>
  </w:font>
  <w:font w:name="Symbol">
    <w:charset w:val="01"/>
    <w:family w:val="auto"/>
    <w:pitch w:val="default"/>
  </w:font>
  <w:font w:name="Courier New">
    <w:charset w:val="01"/>
    <w:family w:val="auto"/>
    <w:pitch w:val="default"/>
  </w:font>
  <w:font w:name="Wingdings">
    <w:charset w:val="01"/>
    <w:family w:val="auto"/>
    <w:pitch w:val="default"/>
  </w:font>
  <w:font w:name="Tahoma">
    <w:charset w:val="01"/>
    <w:family w:val="auto"/>
    <w:pitch w:val="default"/>
  </w:font>
  <w:font w:name="Liberation Sans">
    <w:altName w:val="Arial"/>
    <w:charset w:val="01"/>
    <w:family w:val="auto"/>
    <w:pitch w:val="default"/>
  </w:font>
  <w:font w:name="Calibri">
    <w:charset w:val="01"/>
    <w:family w:val="auto"/>
    <w:pitch w:val="default"/>
  </w:font>
  <w:font w:name="Fira Sans">
    <w:altName w:val="Calibri"/>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rPr>
        <w:lang w:val="en-GB"/>
      </w:rPr>
    </w:pPr>
    <w:r>
      <w:rPr>
        <w:lang w:val="en-G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jc w:val="center"/>
      <w:rPr>
        <w:lang w:val="en-GB"/>
      </w:rPr>
    </w:pPr>
    <w:r>
      <w:rPr>
        <w:lang w:val="en-GB"/>
      </w:rPr>
      <w:fldChar w:fldCharType="begin"/>
    </w:r>
    <w:r>
      <w:rPr>
        <w:lang w:val="en-GB"/>
      </w:rPr>
      <w:instrText xml:space="preserve"> PAGE </w:instrText>
    </w:r>
    <w:r>
      <w:rPr>
        <w:lang w:val="en-GB"/>
      </w:rPr>
      <w:fldChar w:fldCharType="separate"/>
    </w:r>
    <w:r>
      <w:rPr>
        <w:lang w:val="en-GB"/>
      </w:rPr>
      <w:t>9</w:t>
    </w:r>
    <w:r>
      <w:rPr>
        <w:lang w:val="en-GB"/>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jc w:val="center"/>
      <w:rPr>
        <w:lang w:val="en-GB"/>
      </w:rPr>
    </w:pPr>
    <w:r>
      <w:rPr>
        <w:lang w:val="en-GB"/>
      </w:rPr>
      <w:fldChar w:fldCharType="begin"/>
    </w:r>
    <w:r>
      <w:rPr>
        <w:lang w:val="en-GB"/>
      </w:rPr>
      <w:instrText xml:space="preserve"> PAGE </w:instrText>
    </w:r>
    <w:r>
      <w:rPr>
        <w:lang w:val="en-GB"/>
      </w:rPr>
      <w:fldChar w:fldCharType="separate"/>
    </w:r>
    <w:r>
      <w:rPr>
        <w:lang w:val="en-GB"/>
      </w:rPr>
      <w:t>9</w:t>
    </w:r>
    <w:r>
      <w:rPr>
        <w:lang w:val="en-G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13"/>
      <w:rPr>
        <w:lang w:val="en-GB"/>
      </w:rPr>
    </w:pPr>
    <w:r>
      <w:rPr>
        <w:lang w:val="en-G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13"/>
      <w:rPr>
        <w:lang w:val="x-none" w:eastAsia="x-none"/>
      </w:rPr>
    </w:pPr>
    <w:r>
      <w:rPr>
        <w:lang w:val="en-GB" w:eastAsia="x-no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13"/>
      <w:rPr>
        <w:lang w:val="x-none" w:eastAsia="x-none"/>
      </w:rPr>
    </w:pPr>
    <w:r>
      <w:rPr>
        <w:lang w:val="en-GB" w:eastAsia="x-no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decimal"/>
      <w:lvlText w:val="%1."/>
      <w:lvlJc w:val="start"/>
      <w:pPr>
        <w:tabs>
          <w:tab w:val="num" w:pos="0"/>
        </w:tabs>
        <w:ind w:start="1005" w:hanging="420"/>
      </w:pPr>
      <w:rPr/>
    </w:lvl>
    <w:lvl w:ilvl="1">
      <w:start w:val="1"/>
      <w:numFmt w:val="lowerLetter"/>
      <w:lvlText w:val="%2."/>
      <w:lvlJc w:val="start"/>
      <w:pPr>
        <w:tabs>
          <w:tab w:val="num" w:pos="0"/>
        </w:tabs>
        <w:ind w:start="1665" w:hanging="360"/>
      </w:pPr>
      <w:rPr/>
    </w:lvl>
    <w:lvl w:ilvl="2">
      <w:start w:val="1"/>
      <w:numFmt w:val="lowerRoman"/>
      <w:lvlText w:val="%3."/>
      <w:lvlJc w:val="end"/>
      <w:pPr>
        <w:tabs>
          <w:tab w:val="num" w:pos="0"/>
        </w:tabs>
        <w:ind w:start="2385" w:hanging="180"/>
      </w:pPr>
      <w:rPr/>
    </w:lvl>
    <w:lvl w:ilvl="3">
      <w:start w:val="1"/>
      <w:numFmt w:val="decimal"/>
      <w:lvlText w:val="%4."/>
      <w:lvlJc w:val="start"/>
      <w:pPr>
        <w:tabs>
          <w:tab w:val="num" w:pos="0"/>
        </w:tabs>
        <w:ind w:start="3105" w:hanging="360"/>
      </w:pPr>
      <w:rPr/>
    </w:lvl>
    <w:lvl w:ilvl="4">
      <w:start w:val="1"/>
      <w:numFmt w:val="lowerLetter"/>
      <w:lvlText w:val="%5."/>
      <w:lvlJc w:val="start"/>
      <w:pPr>
        <w:tabs>
          <w:tab w:val="num" w:pos="0"/>
        </w:tabs>
        <w:ind w:start="3825" w:hanging="360"/>
      </w:pPr>
      <w:rPr/>
    </w:lvl>
    <w:lvl w:ilvl="5">
      <w:start w:val="1"/>
      <w:numFmt w:val="lowerRoman"/>
      <w:lvlText w:val="%6."/>
      <w:lvlJc w:val="end"/>
      <w:pPr>
        <w:tabs>
          <w:tab w:val="num" w:pos="0"/>
        </w:tabs>
        <w:ind w:start="4545" w:hanging="180"/>
      </w:pPr>
      <w:rPr/>
    </w:lvl>
    <w:lvl w:ilvl="6">
      <w:start w:val="1"/>
      <w:numFmt w:val="decimal"/>
      <w:lvlText w:val="%7."/>
      <w:lvlJc w:val="start"/>
      <w:pPr>
        <w:tabs>
          <w:tab w:val="num" w:pos="0"/>
        </w:tabs>
        <w:ind w:start="5265" w:hanging="360"/>
      </w:pPr>
      <w:rPr/>
    </w:lvl>
    <w:lvl w:ilvl="7">
      <w:start w:val="1"/>
      <w:numFmt w:val="lowerLetter"/>
      <w:lvlText w:val="%8."/>
      <w:lvlJc w:val="start"/>
      <w:pPr>
        <w:tabs>
          <w:tab w:val="num" w:pos="0"/>
        </w:tabs>
        <w:ind w:start="5985" w:hanging="360"/>
      </w:pPr>
      <w:rPr/>
    </w:lvl>
    <w:lvl w:ilvl="8">
      <w:start w:val="1"/>
      <w:numFmt w:val="lowerRoman"/>
      <w:lvlText w:val="%9."/>
      <w:lvlJc w:val="end"/>
      <w:pPr>
        <w:tabs>
          <w:tab w:val="num" w:pos="0"/>
        </w:tabs>
        <w:ind w:start="6705"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13"/>
      <w:jc w:val="start"/>
    </w:pPr>
    <w:rPr>
      <w:rFonts w:ascii="Fira Sans" w:hAnsi="Fira Sans" w:eastAsia="Calibri" w:cs="Calibri"/>
      <w:color w:val="auto"/>
      <w:kern w:val="0"/>
      <w:sz w:val="22"/>
      <w:szCs w:val="22"/>
      <w:lang w:val="en-US" w:eastAsia="zh-CN" w:bidi="en-US"/>
    </w:rPr>
  </w:style>
  <w:style w:type="paragraph" w:styleId="Heading1">
    <w:name w:val="Heading 1"/>
    <w:basedOn w:val="Normal"/>
    <w:next w:val="Normal"/>
    <w:qFormat/>
    <w:pPr>
      <w:keepNext w:val="true"/>
      <w:keepLines/>
      <w:spacing w:before="283" w:after="0"/>
      <w:outlineLvl w:val="0"/>
    </w:pPr>
    <w:rPr>
      <w:b/>
      <w:bCs/>
      <w:color w:val="365F91"/>
      <w:sz w:val="28"/>
      <w:szCs w:val="28"/>
    </w:rPr>
  </w:style>
  <w:style w:type="paragraph" w:styleId="Heading2">
    <w:name w:val="Heading 2"/>
    <w:basedOn w:val="Normal"/>
    <w:next w:val="Normal"/>
    <w:qFormat/>
    <w:pPr>
      <w:keepNext w:val="true"/>
      <w:keepLines/>
      <w:spacing w:before="200" w:after="0"/>
      <w:outlineLvl w:val="1"/>
    </w:pPr>
    <w:rPr>
      <w:b/>
      <w:bCs/>
      <w:color w:val="4F81BD"/>
      <w:sz w:val="26"/>
      <w:szCs w:val="26"/>
    </w:rPr>
  </w:style>
  <w:style w:type="paragraph" w:styleId="Heading3">
    <w:name w:val="Heading 3"/>
    <w:basedOn w:val="Normal"/>
    <w:next w:val="Normal"/>
    <w:qFormat/>
    <w:pPr>
      <w:keepNext w:val="true"/>
      <w:keepLines/>
      <w:spacing w:before="200" w:after="0"/>
      <w:outlineLvl w:val="2"/>
    </w:pPr>
    <w:rPr>
      <w:rFonts w:ascii="Cambria" w:hAnsi="Cambria"/>
      <w:b/>
      <w:bCs/>
      <w:color w:val="4F81BD"/>
    </w:rPr>
  </w:style>
  <w:style w:type="paragraph" w:styleId="Heading4">
    <w:name w:val="Heading 4"/>
    <w:basedOn w:val="Normal"/>
    <w:next w:val="Normal"/>
    <w:qFormat/>
    <w:pPr>
      <w:keepNext w:val="true"/>
      <w:keepLines/>
      <w:spacing w:before="200" w:after="0"/>
      <w:outlineLvl w:val="3"/>
    </w:pPr>
    <w:rPr>
      <w:rFonts w:ascii="Cambria" w:hAnsi="Cambria"/>
      <w:b/>
      <w:bCs/>
      <w:i/>
      <w:iCs/>
      <w:color w:val="4F81BD"/>
    </w:rPr>
  </w:style>
  <w:style w:type="paragraph" w:styleId="Heading5">
    <w:name w:val="Heading 5"/>
    <w:basedOn w:val="Normal"/>
    <w:next w:val="Normal"/>
    <w:qFormat/>
    <w:pPr>
      <w:keepNext w:val="true"/>
      <w:keepLines/>
      <w:spacing w:before="200" w:after="0"/>
      <w:outlineLvl w:val="4"/>
    </w:pPr>
    <w:rPr>
      <w:rFonts w:ascii="Cambria" w:hAnsi="Cambria"/>
      <w:color w:val="243F60"/>
    </w:rPr>
  </w:style>
  <w:style w:type="paragraph" w:styleId="Heading6">
    <w:name w:val="Heading 6"/>
    <w:basedOn w:val="Normal"/>
    <w:next w:val="Normal"/>
    <w:qFormat/>
    <w:pPr>
      <w:keepNext w:val="true"/>
      <w:keepLines/>
      <w:spacing w:before="200" w:after="0"/>
      <w:outlineLvl w:val="5"/>
    </w:pPr>
    <w:rPr>
      <w:rFonts w:ascii="Cambria" w:hAnsi="Cambria"/>
      <w:i/>
      <w:iCs/>
      <w:color w:val="243F60"/>
    </w:rPr>
  </w:style>
  <w:style w:type="paragraph" w:styleId="Heading7">
    <w:name w:val="Heading 7"/>
    <w:basedOn w:val="Normal"/>
    <w:next w:val="Normal"/>
    <w:qFormat/>
    <w:pPr>
      <w:keepNext w:val="true"/>
      <w:keepLines/>
      <w:spacing w:before="200" w:after="0"/>
      <w:outlineLvl w:val="6"/>
    </w:pPr>
    <w:rPr>
      <w:rFonts w:ascii="Cambria" w:hAnsi="Cambria"/>
      <w:i/>
      <w:iCs/>
      <w:color w:val="404040"/>
    </w:rPr>
  </w:style>
  <w:style w:type="paragraph" w:styleId="Heading8">
    <w:name w:val="Heading 8"/>
    <w:basedOn w:val="Normal"/>
    <w:next w:val="Normal"/>
    <w:qFormat/>
    <w:pPr>
      <w:keepNext w:val="true"/>
      <w:keepLines/>
      <w:spacing w:before="200" w:after="0"/>
      <w:outlineLvl w:val="7"/>
    </w:pPr>
    <w:rPr>
      <w:rFonts w:ascii="Cambria" w:hAnsi="Cambria"/>
      <w:color w:val="4F81BD"/>
      <w:sz w:val="20"/>
      <w:szCs w:val="20"/>
    </w:rPr>
  </w:style>
  <w:style w:type="paragraph" w:styleId="Heading9">
    <w:name w:val="Heading 9"/>
    <w:basedOn w:val="Normal"/>
    <w:next w:val="Normal"/>
    <w:qFormat/>
    <w:pPr>
      <w:keepNext w:val="true"/>
      <w:keepLines/>
      <w:spacing w:before="200" w:after="0"/>
      <w:outlineLvl w:val="8"/>
    </w:pPr>
    <w:rPr>
      <w:rFonts w:ascii="Cambria" w:hAnsi="Cambria"/>
      <w:i/>
      <w:iCs/>
      <w:color w:val="404040"/>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4z0" w:customStyle="1">
    <w:name w:val="WW8Num4z0"/>
    <w:qFormat/>
    <w:rPr>
      <w:rFonts w:ascii="Symbol" w:hAnsi="Symbol" w:cs="Symbol"/>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DefaultParagraphFont" w:customStyle="1">
    <w:name w:val="WW-Default Paragraph Font"/>
    <w:qFormat/>
    <w:rPr/>
  </w:style>
  <w:style w:type="character" w:styleId="WW-DefaultParagraphFont1" w:customStyle="1">
    <w:name w:val="WW-Default Paragraph Font1"/>
    <w:qFormat/>
    <w:rPr/>
  </w:style>
  <w:style w:type="character" w:styleId="Heading1Char" w:customStyle="1">
    <w:name w:val="Heading 1 Char"/>
    <w:qFormat/>
    <w:rPr>
      <w:rFonts w:ascii="Cambria" w:hAnsi="Cambria" w:eastAsia="Calibri" w:cs="Calibri"/>
      <w:b/>
      <w:bCs/>
      <w:color w:val="365F91"/>
      <w:sz w:val="28"/>
      <w:szCs w:val="28"/>
    </w:rPr>
  </w:style>
  <w:style w:type="character" w:styleId="Heading2Char" w:customStyle="1">
    <w:name w:val="Heading 2 Char"/>
    <w:qFormat/>
    <w:rPr>
      <w:rFonts w:ascii="Cambria" w:hAnsi="Cambria" w:eastAsia="Calibri" w:cs="Calibri"/>
      <w:b/>
      <w:bCs/>
      <w:color w:val="4F81BD"/>
      <w:sz w:val="26"/>
      <w:szCs w:val="26"/>
    </w:rPr>
  </w:style>
  <w:style w:type="character" w:styleId="Heading3Char" w:customStyle="1">
    <w:name w:val="Heading 3 Char"/>
    <w:qFormat/>
    <w:rPr>
      <w:rFonts w:ascii="Cambria" w:hAnsi="Cambria" w:eastAsia="Calibri" w:cs="Calibri"/>
      <w:b/>
      <w:bCs/>
      <w:color w:val="4F81BD"/>
    </w:rPr>
  </w:style>
  <w:style w:type="character" w:styleId="Heading4Char" w:customStyle="1">
    <w:name w:val="Heading 4 Char"/>
    <w:qFormat/>
    <w:rPr>
      <w:rFonts w:ascii="Cambria" w:hAnsi="Cambria" w:eastAsia="Calibri" w:cs="Calibri"/>
      <w:b/>
      <w:bCs/>
      <w:i/>
      <w:iCs/>
      <w:color w:val="4F81BD"/>
    </w:rPr>
  </w:style>
  <w:style w:type="character" w:styleId="BodyTextChar" w:customStyle="1">
    <w:name w:val="Body Text Char"/>
    <w:qFormat/>
    <w:rPr>
      <w:rFonts w:cs="Times New Roman"/>
      <w:b/>
      <w:bCs/>
      <w:sz w:val="24"/>
      <w:szCs w:val="24"/>
    </w:rPr>
  </w:style>
  <w:style w:type="character" w:styleId="HeaderChar" w:customStyle="1">
    <w:name w:val="Header Char"/>
    <w:qFormat/>
    <w:rPr>
      <w:rFonts w:cs="Times New Roman"/>
      <w:sz w:val="24"/>
      <w:szCs w:val="24"/>
    </w:rPr>
  </w:style>
  <w:style w:type="character" w:styleId="FooterChar" w:customStyle="1">
    <w:name w:val="Footer Char"/>
    <w:qFormat/>
    <w:rPr>
      <w:rFonts w:cs="Times New Roman"/>
      <w:sz w:val="24"/>
      <w:szCs w:val="24"/>
    </w:rPr>
  </w:style>
  <w:style w:type="character" w:styleId="Hyperlink">
    <w:name w:val="Hyperlink"/>
    <w:rPr>
      <w:rFonts w:cs="Times New Roman"/>
      <w:color w:val="0000FF"/>
      <w:u w:val="single"/>
    </w:rPr>
  </w:style>
  <w:style w:type="character" w:styleId="Heading5Char" w:customStyle="1">
    <w:name w:val="Heading 5 Char"/>
    <w:qFormat/>
    <w:rPr>
      <w:rFonts w:ascii="Cambria" w:hAnsi="Cambria" w:eastAsia="Calibri" w:cs="Calibri"/>
      <w:color w:val="243F60"/>
    </w:rPr>
  </w:style>
  <w:style w:type="character" w:styleId="Heading6Char" w:customStyle="1">
    <w:name w:val="Heading 6 Char"/>
    <w:qFormat/>
    <w:rPr>
      <w:rFonts w:ascii="Cambria" w:hAnsi="Cambria" w:eastAsia="Calibri" w:cs="Calibri"/>
      <w:i/>
      <w:iCs/>
      <w:color w:val="243F60"/>
    </w:rPr>
  </w:style>
  <w:style w:type="character" w:styleId="Heading7Char" w:customStyle="1">
    <w:name w:val="Heading 7 Char"/>
    <w:qFormat/>
    <w:rPr>
      <w:rFonts w:ascii="Cambria" w:hAnsi="Cambria" w:eastAsia="Calibri" w:cs="Calibri"/>
      <w:i/>
      <w:iCs/>
      <w:color w:val="404040"/>
    </w:rPr>
  </w:style>
  <w:style w:type="character" w:styleId="Heading8Char" w:customStyle="1">
    <w:name w:val="Heading 8 Char"/>
    <w:qFormat/>
    <w:rPr>
      <w:rFonts w:ascii="Cambria" w:hAnsi="Cambria" w:eastAsia="Calibri" w:cs="Calibri"/>
      <w:color w:val="4F81BD"/>
      <w:sz w:val="20"/>
      <w:szCs w:val="20"/>
    </w:rPr>
  </w:style>
  <w:style w:type="character" w:styleId="Heading9Char" w:customStyle="1">
    <w:name w:val="Heading 9 Char"/>
    <w:qFormat/>
    <w:rPr>
      <w:rFonts w:ascii="Cambria" w:hAnsi="Cambria" w:eastAsia="Calibri" w:cs="Calibri"/>
      <w:i/>
      <w:iCs/>
      <w:color w:val="404040"/>
      <w:sz w:val="20"/>
      <w:szCs w:val="20"/>
    </w:rPr>
  </w:style>
  <w:style w:type="character" w:styleId="TitleChar" w:customStyle="1">
    <w:name w:val="Title Char"/>
    <w:qFormat/>
    <w:rPr>
      <w:rFonts w:ascii="Cambria" w:hAnsi="Cambria" w:eastAsia="Calibri" w:cs="Calibri"/>
      <w:color w:val="17365D"/>
      <w:spacing w:val="5"/>
      <w:kern w:val="2"/>
      <w:sz w:val="52"/>
      <w:szCs w:val="52"/>
    </w:rPr>
  </w:style>
  <w:style w:type="character" w:styleId="SubtitleChar" w:customStyle="1">
    <w:name w:val="Subtitle Char"/>
    <w:qFormat/>
    <w:rPr>
      <w:rFonts w:ascii="Cambria" w:hAnsi="Cambria" w:eastAsia="Calibri" w:cs="Calibri"/>
      <w:i/>
      <w:iCs/>
      <w:color w:val="4F81BD"/>
      <w:spacing w:val="15"/>
      <w:sz w:val="24"/>
      <w:szCs w:val="24"/>
    </w:rPr>
  </w:style>
  <w:style w:type="character" w:styleId="Strong">
    <w:name w:val="Strong"/>
    <w:qFormat/>
    <w:rPr>
      <w:b/>
      <w:bCs/>
    </w:rPr>
  </w:style>
  <w:style w:type="character" w:styleId="Emphasis">
    <w:name w:val="Emphasis"/>
    <w:qFormat/>
    <w:rPr>
      <w:i/>
      <w:iCs/>
    </w:rPr>
  </w:style>
  <w:style w:type="character" w:styleId="QuoteChar" w:customStyle="1">
    <w:name w:val="Quote Char"/>
    <w:qFormat/>
    <w:rPr>
      <w:i/>
      <w:iCs/>
      <w:color w:val="000000"/>
    </w:rPr>
  </w:style>
  <w:style w:type="character" w:styleId="IntenseQuoteChar" w:customStyle="1">
    <w:name w:val="Intense Quote Char"/>
    <w:qFormat/>
    <w:rPr>
      <w:b/>
      <w:bCs/>
      <w:i/>
      <w:iCs/>
      <w:color w:val="4F81BD"/>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BalloonTextChar" w:customStyle="1">
    <w:name w:val="Balloon Text Char"/>
    <w:qFormat/>
    <w:rPr>
      <w:rFonts w:ascii="Tahoma" w:hAnsi="Tahoma" w:cs="Tahoma"/>
      <w:sz w:val="16"/>
      <w:szCs w:val="16"/>
    </w:rPr>
  </w:style>
  <w:style w:type="character" w:styleId="NumberingSymbols">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Droid Sans Fallback" w:cs="FreeSans"/>
      <w:sz w:val="28"/>
      <w:szCs w:val="28"/>
    </w:rPr>
  </w:style>
  <w:style w:type="paragraph" w:styleId="BodyText">
    <w:name w:val="Body Text"/>
    <w:basedOn w:val="Normal"/>
    <w:pPr/>
    <w:rPr>
      <w:b/>
      <w:bCs/>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customStyle="1">
    <w:name w:val="Caption1"/>
    <w:basedOn w:val="Normal"/>
    <w:next w:val="Normal"/>
    <w:qFormat/>
    <w:pPr>
      <w:spacing w:lineRule="auto" w:line="240"/>
    </w:pPr>
    <w:rPr>
      <w:b/>
      <w:bCs/>
      <w:color w:val="4F81BD"/>
      <w:sz w:val="18"/>
      <w:szCs w:val="18"/>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itle">
    <w:name w:val="Title"/>
    <w:basedOn w:val="Normal"/>
    <w:next w:val="Normal"/>
    <w:qFormat/>
    <w:pPr>
      <w:pBdr>
        <w:bottom w:val="single" w:sz="8" w:space="4" w:color="4F81BD"/>
      </w:pBdr>
      <w:spacing w:lineRule="auto" w:line="240" w:before="0" w:after="300"/>
      <w:contextualSpacing/>
    </w:pPr>
    <w:rPr>
      <w:rFonts w:ascii="Cambria" w:hAnsi="Cambria"/>
      <w:color w:val="17365D"/>
      <w:spacing w:val="5"/>
      <w:kern w:val="2"/>
      <w:sz w:val="52"/>
      <w:szCs w:val="52"/>
    </w:rPr>
  </w:style>
  <w:style w:type="paragraph" w:styleId="Subtitle">
    <w:name w:val="Subtitle"/>
    <w:basedOn w:val="Normal"/>
    <w:next w:val="Normal"/>
    <w:qFormat/>
    <w:pPr/>
    <w:rPr>
      <w:rFonts w:ascii="Cambria" w:hAnsi="Cambria"/>
      <w:i/>
      <w:iCs/>
      <w:color w:val="4F81BD"/>
      <w:spacing w:val="15"/>
      <w:sz w:val="24"/>
      <w:szCs w:val="24"/>
    </w:rPr>
  </w:style>
  <w:style w:type="paragraph" w:styleId="NoSpacing">
    <w:name w:val="No Spacing"/>
    <w:qFormat/>
    <w:pPr>
      <w:widowControl/>
      <w:suppressAutoHyphens w:val="true"/>
      <w:bidi w:val="0"/>
      <w:spacing w:before="0" w:after="0"/>
      <w:jc w:val="start"/>
    </w:pPr>
    <w:rPr>
      <w:rFonts w:ascii="Calibri" w:hAnsi="Calibri" w:eastAsia="Calibri" w:cs="Calibri"/>
      <w:color w:val="auto"/>
      <w:kern w:val="0"/>
      <w:sz w:val="22"/>
      <w:szCs w:val="22"/>
      <w:lang w:val="en-US" w:eastAsia="zh-CN" w:bidi="en-US"/>
    </w:rPr>
  </w:style>
  <w:style w:type="paragraph" w:styleId="ListParagraph">
    <w:name w:val="List Paragraph"/>
    <w:basedOn w:val="Normal"/>
    <w:uiPriority w:val="34"/>
    <w:qFormat/>
    <w:pPr>
      <w:spacing w:before="0" w:after="200"/>
      <w:ind w:hanging="0" w:start="720"/>
      <w:contextualSpacing/>
    </w:pPr>
    <w:rPr/>
  </w:style>
  <w:style w:type="paragraph" w:styleId="Quote">
    <w:name w:val="Quote"/>
    <w:basedOn w:val="Normal"/>
    <w:next w:val="Normal"/>
    <w:qFormat/>
    <w:pPr/>
    <w:rPr>
      <w:i/>
      <w:iCs/>
      <w:color w:val="000000"/>
    </w:rPr>
  </w:style>
  <w:style w:type="paragraph" w:styleId="IntenseQuote">
    <w:name w:val="Intense Quote"/>
    <w:basedOn w:val="Normal"/>
    <w:next w:val="Normal"/>
    <w:qFormat/>
    <w:pPr>
      <w:pBdr>
        <w:bottom w:val="single" w:sz="4" w:space="4" w:color="4F81BD"/>
      </w:pBdr>
      <w:spacing w:before="200" w:after="280"/>
      <w:ind w:hanging="0" w:start="936" w:end="936"/>
    </w:pPr>
    <w:rPr>
      <w:b/>
      <w:bCs/>
      <w:i/>
      <w:iCs/>
      <w:color w:val="4F81BD"/>
    </w:rPr>
  </w:style>
  <w:style w:type="paragraph" w:styleId="IndexHeading">
    <w:name w:val="Index Heading"/>
    <w:basedOn w:val="Heading"/>
    <w:qFormat/>
    <w:pPr/>
    <w:rPr/>
  </w:style>
  <w:style w:type="paragraph" w:styleId="TOCHeading">
    <w:name w:val="TOC Heading"/>
    <w:basedOn w:val="Heading1"/>
    <w:next w:val="Normal"/>
    <w:qFormat/>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WW8Num2" w:customStyle="1">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c30d9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338</TotalTime>
  <Application>LibreOffice/24.2.7.2$Linux_X86_64 LibreOffice_project/420$Build-2</Application>
  <AppVersion>15.0000</AppVersion>
  <Pages>9</Pages>
  <Words>1854</Words>
  <Characters>9411</Characters>
  <CharactersWithSpaces>11302</CharactersWithSpaces>
  <Paragraphs>126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2025-02-15T12:54:00Z</dcterms:created>
  <dc:creator>Cuffley and Northaw Church</dc:creator>
  <dc:description/>
  <dc:language>en-GB</dc:language>
  <cp:lastModifiedBy>Chris Kilgour</cp:lastModifiedBy>
  <cp:lastPrinted>2026-03-13T23:59:48Z</cp:lastPrinted>
  <dcterms:modified xsi:type="dcterms:W3CDTF">2026-03-13T23:59:43Z</dcterms:modified>
  <cp:revision>8</cp:revision>
  <dc:subject/>
  <dc:title>ANNUAL REPORT AND FINANCIAL STATEMENTS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